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97" w:rsidRPr="00FB4B7F" w:rsidRDefault="00BD6897" w:rsidP="00BD6897">
      <w:pPr>
        <w:pStyle w:val="Heading2"/>
        <w:numPr>
          <w:ilvl w:val="0"/>
          <w:numId w:val="0"/>
        </w:numPr>
        <w:spacing w:line="240" w:lineRule="atLeast"/>
        <w:ind w:left="5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FB4B7F">
        <w:rPr>
          <w:rFonts w:ascii="Times New Roman" w:hAnsi="Times New Roman" w:cs="Times New Roman"/>
          <w:sz w:val="24"/>
          <w:szCs w:val="24"/>
          <w:lang w:val="en-US"/>
        </w:rPr>
        <w:t>Aprobate</w:t>
      </w:r>
    </w:p>
    <w:p w:rsidR="00BD6897" w:rsidRDefault="00BD6897" w:rsidP="00BD6897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şedinţa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atedrei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chirurgie oro-maxilo-facială, </w:t>
      </w:r>
    </w:p>
    <w:p w:rsidR="00BD6897" w:rsidRDefault="00BD6897" w:rsidP="00BD6897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825A5">
        <w:rPr>
          <w:rFonts w:ascii="Times New Roman" w:hAnsi="Times New Roman"/>
          <w:sz w:val="24"/>
          <w:szCs w:val="24"/>
          <w:lang w:val="ro-RO"/>
        </w:rPr>
        <w:t>şi  implantologie orală</w:t>
      </w:r>
      <w:r w:rsidRPr="00D825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„Arsenie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Guţan”,</w:t>
      </w:r>
    </w:p>
    <w:p w:rsidR="00BD6897" w:rsidRPr="005A79F0" w:rsidRDefault="00BD6897" w:rsidP="00BD6897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Proces verbal Nr.9 din 29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BD6897" w:rsidRPr="00405A71" w:rsidRDefault="00BD6897" w:rsidP="00BD689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5A7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Şef catedră, </w:t>
      </w:r>
      <w:r w:rsidRPr="00D825A5">
        <w:rPr>
          <w:rFonts w:ascii="Times New Roman" w:hAnsi="Times New Roman" w:cs="Times New Roman"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sz w:val="24"/>
          <w:szCs w:val="24"/>
          <w:lang w:val="en-US"/>
        </w:rPr>
        <w:t>hab.</w:t>
      </w:r>
      <w:r w:rsidRPr="00D825A5">
        <w:rPr>
          <w:rFonts w:ascii="Times New Roman" w:hAnsi="Times New Roman" w:cs="Times New Roman"/>
          <w:sz w:val="24"/>
          <w:szCs w:val="24"/>
          <w:lang w:val="en-US"/>
        </w:rPr>
        <w:t>şt.med.</w:t>
      </w:r>
      <w:r w:rsidRPr="00405A7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conf.univ.</w:t>
      </w:r>
    </w:p>
    <w:p w:rsidR="00BD6897" w:rsidRPr="00D5259D" w:rsidRDefault="00BD6897" w:rsidP="00BD6897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N. Chele _____________________</w:t>
      </w:r>
    </w:p>
    <w:p w:rsidR="00BD6897" w:rsidRDefault="00BD6897" w:rsidP="00BD6897">
      <w:pPr>
        <w:pStyle w:val="Heading3"/>
        <w:numPr>
          <w:ilvl w:val="0"/>
          <w:numId w:val="0"/>
        </w:num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D6897" w:rsidRPr="00980167" w:rsidRDefault="00BD6897" w:rsidP="00BD6897">
      <w:pPr>
        <w:pStyle w:val="Heading3"/>
        <w:numPr>
          <w:ilvl w:val="0"/>
          <w:numId w:val="0"/>
        </w:numPr>
        <w:tabs>
          <w:tab w:val="left" w:pos="360"/>
        </w:tabs>
        <w:spacing w:line="360" w:lineRule="auto"/>
        <w:ind w:right="175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sz w:val="28"/>
          <w:szCs w:val="28"/>
          <w:lang w:val="ro-RO"/>
        </w:rPr>
        <w:t xml:space="preserve">Întrebări </w:t>
      </w:r>
      <w:r w:rsidRPr="00980167">
        <w:rPr>
          <w:rFonts w:ascii="Times New Roman" w:hAnsi="Times New Roman" w:cs="Times New Roman"/>
          <w:sz w:val="28"/>
          <w:szCs w:val="28"/>
          <w:lang w:val="en-US"/>
        </w:rPr>
        <w:t>pentru examenul de promovare la chirurgia</w:t>
      </w:r>
    </w:p>
    <w:p w:rsidR="00BD6897" w:rsidRDefault="00BD6897" w:rsidP="00BD6897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oro-maxilo-facială </w:t>
      </w:r>
    </w:p>
    <w:p w:rsidR="00BD6897" w:rsidRPr="00980167" w:rsidRDefault="00BD6897" w:rsidP="00BD6897">
      <w:pPr>
        <w:tabs>
          <w:tab w:val="left" w:pos="360"/>
        </w:tabs>
        <w:spacing w:after="0" w:line="360" w:lineRule="auto"/>
        <w:ind w:right="1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anul II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de studii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8</w:t>
      </w:r>
      <w:r w:rsidRPr="0098016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9</w:t>
      </w:r>
    </w:p>
    <w:p w:rsidR="00BD6897" w:rsidRPr="00980167" w:rsidRDefault="00BD6897" w:rsidP="00BD6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Compartimentul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Prevenția și 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Anestezia în stomatologie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chiurgia OMF</w:t>
      </w:r>
      <w:r w:rsidRPr="0098016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Face levels. Superficial and deep spaces of the face.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Bones and muscles of the facial skeleton.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Specific anatomic and morphologic features of the superior jaw.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Vascularization and innervation of the superior jaw.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Vascularization and innervation of the inferior jaw.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Specific anatomic and morphologic features of the maxillary sinus and its functions.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Main anatomic elements of the TMJ. Functions of the TMJ.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Clinical examination of the patients in the OMF surgery department. Main steps and its purpose.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Loco-regional and general para-clinical examinations in OMF surgery. Purpose and role for establishing the diagnosis.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Biopsy. Definition. Methods. Indications and clinical meaning.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Allergy testing. Characteristics. Indications and clinical meaning.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Para-clinic radiologic examinations (exo- and endobuccal).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Requirements for organization and arrangement of the surgical cabinet. Furniture, equipment and instruments.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Primary, secondary and tertiary prevention. Methods.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Notion and methods of asepsis and disinfection.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Groups of disinfectants. Characteristics. Examples.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lastRenderedPageBreak/>
        <w:t>Presterilization: definition, steps. Cleaning, disinfection and preparation of the reusable instruments before sterilization.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Moist heat sterilization. Characteristics. Equipment. Advantages and disadvantages.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Dry heat sterilization. Characteristics. Equipment. Advantages and disadvantages.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Groups of disinfectants. Mechanism of action.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Antisepsis methods.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Antiseptic substances. Characteristics and mechanism of action.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Purpose of the preoperative patient preparation. Psychological preparation of the patient in the OMF cabinet and department.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Premedication (pre-anesthesia) in the OMF cabinet and department.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Surgeon preparation for the intervention in the OMF cabinet and department. Necessary equipment. Hands disinfection. Techniques. Characteristics.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History of anesthesia in dentistry and oro-maxillo-facial surgery.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Definition and goals of anesthesia. Classification of methods of anesthesia used in dentistry and OMF surgery.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Indications of anesthesia. Choosing the anesthetic method according to indications.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General anesthesia clinical considerations. Stages of general anesthesia.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Advantages and disadvantages of general anesthesia. The peculiarities of GA related to the OMF territory.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Inhalation general anesthesia. Anesthetic circuits. Volatile and gaseous liquid anesthetic solutions.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Intravenous general anesthesia. Access, the used substances.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Long and short term general anesthesia (indications, contraindications, advantages, disadvantages, routes of administration).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Local and general anesthesia in geriatric and pregnant patients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Local and general anesthesia in cardiovascular compromised patients (HTA, cardiac rheumatism, coronary artery disease.) in order to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Local and general anesthesia in myocardial infarction, chronic heart failure, valvular lesions, cardiac conduction disorders (tachycardia).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Local and general anesthesia in pulmonary compromised patients (bronchitis, emphysema, bronchial asthma)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Local and general anesthesia in hepatic, diabetic, allergic and neuropsychic compromised patients. 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Local and general anesthesia in </w:t>
      </w:r>
      <w:r w:rsidRPr="00BD689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hemorrhagiparous </w:t>
      </w:r>
      <w:r w:rsidRPr="00BD6897">
        <w:rPr>
          <w:rFonts w:ascii="Times New Roman" w:hAnsi="Times New Roman" w:cs="Times New Roman"/>
          <w:sz w:val="24"/>
          <w:szCs w:val="24"/>
          <w:lang w:val="en-US"/>
        </w:rPr>
        <w:t>compromised patients</w:t>
      </w:r>
      <w:r w:rsidRPr="00BD689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Patients with cancer.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</w:rPr>
        <w:t xml:space="preserve"> Anesthetic risk in dentistry.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Psychological preparation. Physical preparation. Drug preparation.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Drugs used in premedication (barbiturates, analgesics, vaglitis, tranquilizers).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Conscious sedation in local anesthesia.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Definition. Classification of loco-regional anesthesia methods.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Advantages of loco-regional anesthesia. Indications of loco-regional anesthesia. </w:t>
      </w:r>
      <w:r w:rsidRPr="00BD6897">
        <w:rPr>
          <w:rFonts w:ascii="Times New Roman" w:hAnsi="Times New Roman" w:cs="Times New Roman"/>
          <w:sz w:val="24"/>
          <w:szCs w:val="24"/>
        </w:rPr>
        <w:t>Contraindications of loco-regional anesthesia.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Anesthetic solutions used in dentistry, generalities.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Generalities (qualities of anesthetic solutions, composition, requirements for anesthetic solutions). Local anesthetics. Anesthetic groups. The main representatives and their basic characteristics.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Vasoconstrictive substances (natural sympathomimetics and synthesis), their role in the anesthetic solution. </w:t>
      </w:r>
      <w:r w:rsidRPr="00BD6897">
        <w:rPr>
          <w:rFonts w:ascii="Times New Roman" w:hAnsi="Times New Roman" w:cs="Times New Roman"/>
          <w:sz w:val="24"/>
          <w:szCs w:val="24"/>
        </w:rPr>
        <w:t>Adjuvant and diluent substances in anesthetics and their role.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Instrument and materials used in local and regional anesthetics. Preparing the patient and the doctor for anesthesia. Preparing instrumentation and surgical field for anesthesia.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The maxillary nerve, origin, pathway, afferent branches, the territory of innervation.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Pterygoid nerve and sphenopalatine branch with its afferents: upper nasal, nasopalatine, anterior palatine, small palatines and accessories.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Higher and lateral, upper and middle, upper and anterior alveolar nerves. </w:t>
      </w:r>
      <w:r w:rsidRPr="00BD6897">
        <w:rPr>
          <w:rFonts w:ascii="Times New Roman" w:hAnsi="Times New Roman" w:cs="Times New Roman"/>
          <w:sz w:val="24"/>
          <w:szCs w:val="24"/>
        </w:rPr>
        <w:t>Origin, pathway, annoyed territory.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The mandibular nerve. Pathway, territory of innervation, afferent branches. </w:t>
      </w:r>
      <w:r w:rsidRPr="00BD6897">
        <w:rPr>
          <w:rFonts w:ascii="Times New Roman" w:hAnsi="Times New Roman" w:cs="Times New Roman"/>
          <w:sz w:val="24"/>
          <w:szCs w:val="24"/>
        </w:rPr>
        <w:t>The oral, lingual and auriculo-temporal nerves.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Inferior alveolar nerve. Pathway, territory of innervation, branches (mylohyoid nerve and the nerve for anterior belly of digastric muscle, incisive and mental nerve).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The definition of local terminal anesthesia. Goals, clinic, indications. Terminal anesthesia by refrigeration. Indications, technique, substances used. Terminal contact anesthesia (topical, applicative). Indications, technique, substances used.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Terminal anesthesia by injection. Indications, technique, substances used.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Regional (troncular) anesthesia. Goals, indications, peculiarities.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Infraorbital nerve block - anesthetized territory, indications. </w:t>
      </w:r>
      <w:r w:rsidRPr="00BD6897">
        <w:rPr>
          <w:rFonts w:ascii="Times New Roman" w:hAnsi="Times New Roman" w:cs="Times New Roman"/>
          <w:sz w:val="24"/>
          <w:szCs w:val="24"/>
        </w:rPr>
        <w:t>Intraoral way for infraorbital nerve block. Landmarks.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Exooral way for infraorbital nerve block.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Posterior superior alveolar nerve block - anesthetized territory, indications. </w:t>
      </w:r>
      <w:r w:rsidRPr="00BD6897">
        <w:rPr>
          <w:rFonts w:ascii="Times New Roman" w:hAnsi="Times New Roman" w:cs="Times New Roman"/>
          <w:sz w:val="24"/>
          <w:szCs w:val="24"/>
        </w:rPr>
        <w:t>Intraoral way for Posterior superior alveolar nerve block. Landmarks.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Extraoral way for Posterior superior alveolar nerve block.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Nasopalatine nerve block (into anterior palatine foramen or incisival foramen) anesthetized territory, indications. Intraoral and extraooral way for Nasopalatine nerve block.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Greater palatine nerve block or anterior palatine nerve block (into greater palatine foramen). Anesthetized territory, indications. The technique and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Inferior alveolar nerve block – anesthetized territory, indications. Intraoral and exoooral way for Inferior alveolar nerve block. Landmarks.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Extraoral way for Inferior alveolar nerve block.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Lingual nerve block – anesthetized territory, indications. The technique and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Buccal nerve block – anesthetized territory, indications. The technique and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Mental nerve block – anesthetized territory, indications. The technique and landmarks. Incidents, accidents and local complications.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General toxic accidents caused by the anesthetic substance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Lipothimia or fainting. Clinic. First aid. Cardio-respiratory syncope. Clinic. First aid. </w:t>
      </w:r>
      <w:r w:rsidRPr="00BD6897">
        <w:rPr>
          <w:rFonts w:ascii="Times New Roman" w:hAnsi="Times New Roman" w:cs="Times New Roman"/>
          <w:sz w:val="24"/>
          <w:szCs w:val="24"/>
        </w:rPr>
        <w:t>Convulsions. First aid.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Cardiorespiratory arrest. Clinic. Elementary measures to support vital functions. </w:t>
      </w:r>
      <w:r w:rsidRPr="00BD6897">
        <w:rPr>
          <w:rFonts w:ascii="Times New Roman" w:hAnsi="Times New Roman" w:cs="Times New Roman"/>
          <w:sz w:val="24"/>
          <w:szCs w:val="24"/>
        </w:rPr>
        <w:t>(Basic Life Support: A. Airway, B. Breathing, C. Circulations).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 xml:space="preserve"> Allergic Accidents. (urticaria, Quincke's edema, anaphylactic shock).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Complications determined in compromised patients (geriatric, pregnant, cardiovascular, diabetic, </w:t>
      </w:r>
      <w:r w:rsidRPr="00BD689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hemorrhagiparous patients</w:t>
      </w:r>
      <w:r w:rsidRPr="00BD689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Immediate accidents: pain, vascular lesions, temporary paresthesia. Immediate accidents: eye disorders, fall of the needle in the upper respiratory tract, needle rupture, lack of anesthesia.</w:t>
      </w:r>
    </w:p>
    <w:p w:rsidR="00BD6897" w:rsidRPr="00BD6897" w:rsidRDefault="00BD6897" w:rsidP="00BD6897">
      <w:pPr>
        <w:pStyle w:val="ListParagraph"/>
        <w:numPr>
          <w:ilvl w:val="0"/>
          <w:numId w:val="1"/>
        </w:numPr>
        <w:spacing w:line="360" w:lineRule="auto"/>
        <w:ind w:left="0" w:right="141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D6897">
        <w:rPr>
          <w:rFonts w:ascii="Times New Roman" w:hAnsi="Times New Roman" w:cs="Times New Roman"/>
          <w:sz w:val="24"/>
          <w:szCs w:val="24"/>
          <w:lang w:val="en-US"/>
        </w:rPr>
        <w:t>Complications (secondary injuries): mucosal necrosis, post-anesthetic edema, dry alveolitis, perimaxillary infections, post-anesthetic neuritis</w:t>
      </w:r>
    </w:p>
    <w:p w:rsidR="00BD6897" w:rsidRPr="00470BA8" w:rsidRDefault="00BD6897" w:rsidP="00BD6897">
      <w:pPr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D6897" w:rsidRPr="00470BA8" w:rsidRDefault="00BD6897" w:rsidP="00BD6897">
      <w:pPr>
        <w:tabs>
          <w:tab w:val="left" w:pos="142"/>
          <w:tab w:val="left" w:pos="284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BD6897" w:rsidRPr="00470BA8" w:rsidRDefault="00BD6897" w:rsidP="00BD6897">
      <w:pPr>
        <w:tabs>
          <w:tab w:val="left" w:pos="142"/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6897" w:rsidRPr="00470BA8" w:rsidRDefault="00BD6897" w:rsidP="00BD6897">
      <w:pPr>
        <w:pStyle w:val="BodyText"/>
        <w:tabs>
          <w:tab w:val="left" w:pos="142"/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6897" w:rsidRPr="00470BA8" w:rsidRDefault="00BD6897" w:rsidP="00BD6897">
      <w:pPr>
        <w:pStyle w:val="Title"/>
        <w:tabs>
          <w:tab w:val="left" w:pos="284"/>
          <w:tab w:val="left" w:pos="426"/>
        </w:tabs>
        <w:spacing w:line="360" w:lineRule="auto"/>
        <w:ind w:left="-284"/>
        <w:jc w:val="both"/>
        <w:rPr>
          <w:b w:val="0"/>
          <w:i w:val="0"/>
          <w:sz w:val="24"/>
          <w:szCs w:val="24"/>
        </w:rPr>
      </w:pPr>
    </w:p>
    <w:p w:rsidR="00BD6897" w:rsidRPr="00470BA8" w:rsidRDefault="00BD6897" w:rsidP="00BD6897">
      <w:pPr>
        <w:pStyle w:val="Title"/>
        <w:tabs>
          <w:tab w:val="left" w:pos="284"/>
          <w:tab w:val="left" w:pos="426"/>
        </w:tabs>
        <w:spacing w:line="360" w:lineRule="auto"/>
        <w:ind w:left="-284"/>
        <w:jc w:val="both"/>
        <w:rPr>
          <w:b w:val="0"/>
          <w:i w:val="0"/>
          <w:sz w:val="24"/>
          <w:szCs w:val="24"/>
        </w:rPr>
      </w:pPr>
    </w:p>
    <w:p w:rsidR="00BD6897" w:rsidRPr="00470BA8" w:rsidRDefault="00BD6897" w:rsidP="00BD6897">
      <w:pPr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ro-RO"/>
        </w:rPr>
      </w:pPr>
    </w:p>
    <w:p w:rsidR="00393487" w:rsidRPr="00BD6897" w:rsidRDefault="00393487">
      <w:pPr>
        <w:rPr>
          <w:lang w:val="ro-RO"/>
        </w:rPr>
      </w:pPr>
    </w:p>
    <w:sectPr w:rsidR="00393487" w:rsidRPr="00BD689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6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50"/>
      <w:gridCol w:w="5735"/>
      <w:gridCol w:w="1008"/>
      <w:gridCol w:w="1363"/>
    </w:tblGrid>
    <w:tr w:rsidR="00FB4B7F" w:rsidRPr="005A0A7C" w:rsidTr="00E201A6">
      <w:trPr>
        <w:trHeight w:val="181"/>
      </w:trPr>
      <w:tc>
        <w:tcPr>
          <w:tcW w:w="1350" w:type="dxa"/>
          <w:vMerge w:val="restart"/>
        </w:tcPr>
        <w:p w:rsidR="00FB4B7F" w:rsidRPr="005A0A7C" w:rsidRDefault="00BD6897" w:rsidP="00FB4B7F">
          <w:pPr>
            <w:jc w:val="center"/>
            <w:rPr>
              <w:lang w:val="en-US"/>
            </w:rPr>
          </w:pPr>
          <w:r w:rsidRPr="005A0A7C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25678D2" wp14:editId="0A65EF87">
                <wp:simplePos x="0" y="0"/>
                <wp:positionH relativeFrom="column">
                  <wp:posOffset>83820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0" b="0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4B7F" w:rsidRPr="005A0A7C" w:rsidRDefault="00BD6897" w:rsidP="00FB4B7F">
          <w:pPr>
            <w:jc w:val="center"/>
            <w:rPr>
              <w:lang w:val="en-US"/>
            </w:rPr>
          </w:pPr>
        </w:p>
        <w:p w:rsidR="00FB4B7F" w:rsidRPr="005A0A7C" w:rsidRDefault="00BD6897" w:rsidP="00FB4B7F"/>
      </w:tc>
      <w:tc>
        <w:tcPr>
          <w:tcW w:w="5735" w:type="dxa"/>
          <w:vMerge w:val="restart"/>
          <w:vAlign w:val="center"/>
        </w:tcPr>
        <w:p w:rsidR="00FB4B7F" w:rsidRPr="00565904" w:rsidRDefault="00BD6897" w:rsidP="00FB4B7F">
          <w:pPr>
            <w:pStyle w:val="Title"/>
            <w:rPr>
              <w:i w:val="0"/>
              <w:sz w:val="26"/>
              <w:lang w:val="ro-MD"/>
            </w:rPr>
          </w:pPr>
          <w:r>
            <w:rPr>
              <w:sz w:val="30"/>
              <w:lang w:val="ro-MD"/>
            </w:rPr>
            <w:t>Catedra de chirurgie OMF și implantologie orală „Arsenie Guțan”</w:t>
          </w:r>
        </w:p>
      </w:tc>
      <w:tc>
        <w:tcPr>
          <w:tcW w:w="1008" w:type="dxa"/>
          <w:vAlign w:val="center"/>
        </w:tcPr>
        <w:p w:rsidR="00FB4B7F" w:rsidRPr="005A0A7C" w:rsidRDefault="00BD6897" w:rsidP="00FB4B7F">
          <w:pPr>
            <w:rPr>
              <w:b/>
              <w:caps/>
              <w:lang w:val="en-US"/>
            </w:rPr>
          </w:pPr>
          <w:r w:rsidRPr="005A0A7C">
            <w:rPr>
              <w:b/>
              <w:caps/>
              <w:lang w:val="en-US"/>
            </w:rPr>
            <w:t>Red:</w:t>
          </w:r>
        </w:p>
      </w:tc>
      <w:tc>
        <w:tcPr>
          <w:tcW w:w="1363" w:type="dxa"/>
          <w:vAlign w:val="center"/>
        </w:tcPr>
        <w:p w:rsidR="00FB4B7F" w:rsidRPr="005A0A7C" w:rsidRDefault="00BD6897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06</w:t>
          </w:r>
        </w:p>
      </w:tc>
    </w:tr>
    <w:tr w:rsidR="00FB4B7F" w:rsidRPr="005A0A7C" w:rsidTr="00E201A6">
      <w:trPr>
        <w:trHeight w:val="181"/>
      </w:trPr>
      <w:tc>
        <w:tcPr>
          <w:tcW w:w="1350" w:type="dxa"/>
          <w:vMerge/>
        </w:tcPr>
        <w:p w:rsidR="00FB4B7F" w:rsidRPr="005A0A7C" w:rsidRDefault="00BD6897" w:rsidP="00FB4B7F"/>
      </w:tc>
      <w:tc>
        <w:tcPr>
          <w:tcW w:w="5735" w:type="dxa"/>
          <w:vMerge/>
        </w:tcPr>
        <w:p w:rsidR="00FB4B7F" w:rsidRPr="005A0A7C" w:rsidRDefault="00BD6897" w:rsidP="00FB4B7F">
          <w:pPr>
            <w:rPr>
              <w:b/>
            </w:rPr>
          </w:pPr>
        </w:p>
      </w:tc>
      <w:tc>
        <w:tcPr>
          <w:tcW w:w="1008" w:type="dxa"/>
          <w:vAlign w:val="center"/>
        </w:tcPr>
        <w:p w:rsidR="00FB4B7F" w:rsidRPr="005A0A7C" w:rsidRDefault="00BD6897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DATA:</w:t>
          </w:r>
        </w:p>
      </w:tc>
      <w:tc>
        <w:tcPr>
          <w:tcW w:w="1363" w:type="dxa"/>
          <w:vAlign w:val="center"/>
        </w:tcPr>
        <w:p w:rsidR="00FB4B7F" w:rsidRPr="005A0A7C" w:rsidRDefault="00BD6897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20.09.2017</w:t>
          </w:r>
        </w:p>
      </w:tc>
    </w:tr>
    <w:tr w:rsidR="00FB4B7F" w:rsidRPr="005A0A7C" w:rsidTr="00E201A6">
      <w:trPr>
        <w:trHeight w:val="53"/>
      </w:trPr>
      <w:tc>
        <w:tcPr>
          <w:tcW w:w="1350" w:type="dxa"/>
          <w:vMerge/>
        </w:tcPr>
        <w:p w:rsidR="00FB4B7F" w:rsidRPr="005A0A7C" w:rsidRDefault="00BD6897" w:rsidP="00FB4B7F"/>
      </w:tc>
      <w:tc>
        <w:tcPr>
          <w:tcW w:w="5735" w:type="dxa"/>
          <w:vMerge/>
        </w:tcPr>
        <w:p w:rsidR="00FB4B7F" w:rsidRPr="005A0A7C" w:rsidRDefault="00BD6897" w:rsidP="00FB4B7F">
          <w:pPr>
            <w:rPr>
              <w:b/>
            </w:rPr>
          </w:pPr>
        </w:p>
      </w:tc>
      <w:tc>
        <w:tcPr>
          <w:tcW w:w="2371" w:type="dxa"/>
          <w:gridSpan w:val="2"/>
          <w:vAlign w:val="center"/>
        </w:tcPr>
        <w:p w:rsidR="00FB4B7F" w:rsidRPr="005A0A7C" w:rsidRDefault="00BD6897" w:rsidP="00FB4B7F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 xml:space="preserve">Pag. 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PAGE </w:instrText>
          </w:r>
          <w:r w:rsidRPr="005A0A7C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5A0A7C">
            <w:rPr>
              <w:rStyle w:val="PageNumber"/>
              <w:b/>
            </w:rPr>
            <w:fldChar w:fldCharType="end"/>
          </w:r>
          <w:r w:rsidRPr="005A0A7C">
            <w:rPr>
              <w:rStyle w:val="PageNumber"/>
              <w:lang w:val="en-US"/>
            </w:rPr>
            <w:t>/</w:t>
          </w:r>
          <w:r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</w:rPr>
            <w:instrText xml:space="preserve"> NUMPAGES </w:instrText>
          </w:r>
          <w:r w:rsidRPr="005A0A7C">
            <w:rPr>
              <w:rStyle w:val="PageNumber"/>
              <w:b/>
            </w:rPr>
            <w:fldChar w:fldCharType="separate"/>
          </w:r>
          <w:r>
            <w:rPr>
              <w:rStyle w:val="PageNumber"/>
              <w:noProof/>
            </w:rPr>
            <w:t>5</w:t>
          </w:r>
          <w:r w:rsidRPr="005A0A7C">
            <w:rPr>
              <w:rStyle w:val="PageNumber"/>
              <w:b/>
            </w:rPr>
            <w:fldChar w:fldCharType="end"/>
          </w:r>
        </w:p>
      </w:tc>
    </w:tr>
  </w:tbl>
  <w:p w:rsidR="00FB4B7F" w:rsidRDefault="00BD689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2BC5A" wp14:editId="152085EA">
              <wp:simplePos x="0" y="0"/>
              <wp:positionH relativeFrom="margin">
                <wp:posOffset>-450850</wp:posOffset>
              </wp:positionH>
              <wp:positionV relativeFrom="paragraph">
                <wp:posOffset>-1038860</wp:posOffset>
              </wp:positionV>
              <wp:extent cx="6635115" cy="9643745"/>
              <wp:effectExtent l="0" t="0" r="13335" b="146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5115" cy="964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7ED44" id="Rectangle 2" o:spid="_x0000_s1026" style="position:absolute;margin-left:-35.5pt;margin-top:-81.8pt;width:522.45pt;height:7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S0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IZ&#10;Rop00KLPUDSiNpKjLJSnN64EryfzaANBZx40/eaQ0osWvPi9tbpvOWGQVBr8k4sDYePgKFr3HzQD&#10;dLL1OlZq39guAEIN0D425PnUEL73iMLPyeS6SNMCIwq22SS/vsmL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CF563D"/>
    <w:multiLevelType w:val="hybridMultilevel"/>
    <w:tmpl w:val="3188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7BB"/>
    <w:multiLevelType w:val="hybridMultilevel"/>
    <w:tmpl w:val="E76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9F0"/>
    <w:multiLevelType w:val="hybridMultilevel"/>
    <w:tmpl w:val="FADA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97"/>
    <w:rsid w:val="00393487"/>
    <w:rsid w:val="00B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E44"/>
  <w15:chartTrackingRefBased/>
  <w15:docId w15:val="{5EE1F5C0-A996-466A-9BB6-78B9E92A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97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897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897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89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89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689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689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689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689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89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89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689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6897"/>
    <w:rPr>
      <w:rFonts w:asciiTheme="majorHAnsi" w:eastAsiaTheme="majorEastAsia" w:hAnsiTheme="majorHAnsi" w:cstheme="majorBidi"/>
      <w:b/>
      <w:bCs/>
      <w:color w:val="000000" w:themeColor="text1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D6897"/>
    <w:rPr>
      <w:rFonts w:asciiTheme="majorHAnsi" w:eastAsiaTheme="majorEastAsia" w:hAnsiTheme="majorHAnsi" w:cstheme="majorBidi"/>
      <w:b/>
      <w:bCs/>
      <w:i/>
      <w:iCs/>
      <w:color w:val="000000" w:themeColor="text1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BD6897"/>
    <w:rPr>
      <w:rFonts w:asciiTheme="majorHAnsi" w:eastAsiaTheme="majorEastAsia" w:hAnsiTheme="majorHAnsi" w:cstheme="majorBidi"/>
      <w:color w:val="323E4F" w:themeColor="text2" w:themeShade="BF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BD6897"/>
    <w:rPr>
      <w:rFonts w:asciiTheme="majorHAnsi" w:eastAsiaTheme="majorEastAsia" w:hAnsiTheme="majorHAnsi" w:cstheme="majorBidi"/>
      <w:i/>
      <w:iCs/>
      <w:color w:val="323E4F" w:themeColor="text2" w:themeShade="BF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BD6897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BD68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BD689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BD6897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897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897"/>
    <w:rPr>
      <w:lang w:val="ru-RU"/>
    </w:rPr>
  </w:style>
  <w:style w:type="paragraph" w:styleId="ListParagraph">
    <w:name w:val="List Paragraph"/>
    <w:basedOn w:val="Normal"/>
    <w:uiPriority w:val="34"/>
    <w:qFormat/>
    <w:rsid w:val="00BD6897"/>
    <w:pPr>
      <w:ind w:left="720"/>
      <w:contextualSpacing/>
    </w:pPr>
  </w:style>
  <w:style w:type="character" w:customStyle="1" w:styleId="Bodytext310pt">
    <w:name w:val="Body text (3) + 10 pt"/>
    <w:aliases w:val="Bold,Spacing 0 pt"/>
    <w:basedOn w:val="DefaultParagraphFont"/>
    <w:rsid w:val="00BD6897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D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97"/>
    <w:rPr>
      <w:lang w:val="ru-RU"/>
    </w:rPr>
  </w:style>
  <w:style w:type="character" w:styleId="PageNumber">
    <w:name w:val="page number"/>
    <w:basedOn w:val="DefaultParagraphFont"/>
    <w:rsid w:val="00BD68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2019-05-20T08:10:00Z</dcterms:created>
  <dcterms:modified xsi:type="dcterms:W3CDTF">2019-05-20T08:15:00Z</dcterms:modified>
</cp:coreProperties>
</file>