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395A76" w:rsidRPr="00DF58F0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395A76" w:rsidRPr="00C82CAF" w:rsidRDefault="00395A76" w:rsidP="00395A7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5A76" w:rsidRPr="00DF58F0" w:rsidRDefault="00395A76" w:rsidP="00395A7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5A76" w:rsidRPr="006A1512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395A76" w:rsidRP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>la disciplina: Prevenția și anestezia în stomatologie și Ch. OMF</w:t>
      </w:r>
    </w:p>
    <w:p w:rsidR="00395A76" w:rsidRP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>Tipul disciplinei: Obligatorie</w:t>
      </w:r>
    </w:p>
    <w:p w:rsidR="00395A76" w:rsidRPr="00112742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 w:rsidRPr="00395A76">
        <w:rPr>
          <w:i w:val="0"/>
          <w:sz w:val="34"/>
          <w:szCs w:val="34"/>
        </w:rPr>
        <w:t>Codul disciplinei:S.0</w:t>
      </w:r>
      <w:r>
        <w:rPr>
          <w:i w:val="0"/>
          <w:sz w:val="34"/>
          <w:szCs w:val="34"/>
        </w:rPr>
        <w:t>3</w:t>
      </w:r>
      <w:r w:rsidRPr="00395A76">
        <w:rPr>
          <w:i w:val="0"/>
          <w:sz w:val="34"/>
          <w:szCs w:val="34"/>
        </w:rPr>
        <w:t>.O.0</w:t>
      </w:r>
      <w:r>
        <w:rPr>
          <w:i w:val="0"/>
          <w:sz w:val="34"/>
          <w:szCs w:val="34"/>
        </w:rPr>
        <w:t>30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I, </w:t>
      </w:r>
      <w:r>
        <w:rPr>
          <w:i w:val="0"/>
          <w:sz w:val="50"/>
          <w:szCs w:val="50"/>
        </w:rPr>
        <w:t xml:space="preserve">semestrul </w:t>
      </w:r>
      <w:r w:rsidR="00FC497B">
        <w:rPr>
          <w:i w:val="0"/>
          <w:sz w:val="50"/>
          <w:szCs w:val="50"/>
        </w:rPr>
        <w:t>III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 xml:space="preserve">Prevenția în </w:t>
      </w:r>
      <w:r w:rsidRPr="00395A76">
        <w:rPr>
          <w:i w:val="0"/>
          <w:sz w:val="50"/>
          <w:szCs w:val="50"/>
        </w:rPr>
        <w:t>stomatologie și Ch. OMF</w:t>
      </w:r>
    </w:p>
    <w:p w:rsidR="00CB424F" w:rsidRPr="006A1512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50"/>
          <w:szCs w:val="50"/>
        </w:rPr>
        <w:t>(2020-2021)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395A76" w:rsidRDefault="00395A76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1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>
        <w:rPr>
          <w:szCs w:val="28"/>
        </w:rPr>
        <w:t>Familiarizarea studenţilor cu componenţa catedrei. Particularitățile chirurgiei oro-maxilo-faciale. Organizarea cabinetului de chirurgie dento-alveolară și secţiei de chirurgie OMF</w:t>
      </w:r>
      <w:r w:rsidRPr="00DB1F25">
        <w:rPr>
          <w:szCs w:val="28"/>
        </w:rPr>
        <w:t>.</w:t>
      </w:r>
      <w:r>
        <w:rPr>
          <w:szCs w:val="28"/>
        </w:rPr>
        <w:t xml:space="preserve"> </w:t>
      </w:r>
    </w:p>
    <w:p w:rsidR="00CB424F" w:rsidRPr="0051651A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 xml:space="preserve">În cadrul  lucrării practice studenţii </w:t>
      </w:r>
      <w:r w:rsidRPr="004772DE">
        <w:rPr>
          <w:szCs w:val="28"/>
        </w:rPr>
        <w:t>s</w:t>
      </w:r>
      <w:r>
        <w:rPr>
          <w:szCs w:val="28"/>
        </w:rPr>
        <w:t>u</w:t>
      </w:r>
      <w:r w:rsidRPr="004772DE">
        <w:rPr>
          <w:szCs w:val="28"/>
        </w:rPr>
        <w:t>nt familiarizaţi cu componenţa catederei,  însuşesc cerinţele catederei</w:t>
      </w:r>
      <w:r>
        <w:rPr>
          <w:szCs w:val="28"/>
        </w:rPr>
        <w:t xml:space="preserve"> şi organizarea serviciului stomatologic chirurgical in RM.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primirea 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 1. 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DB1F25">
        <w:rPr>
          <w:szCs w:val="28"/>
        </w:rPr>
        <w:t xml:space="preserve"> 3. Lucru pe simulator –35 min.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4. Generalizare– 1</w:t>
      </w:r>
      <w:r w:rsidRPr="00DB1F25">
        <w:rPr>
          <w:szCs w:val="28"/>
        </w:rPr>
        <w:t>0 min.</w:t>
      </w:r>
    </w:p>
    <w:p w:rsidR="00CB424F" w:rsidRPr="0050505D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85AD0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 w:rsidRPr="00366AE5">
        <w:rPr>
          <w:b w:val="0"/>
          <w:i w:val="0"/>
          <w:szCs w:val="28"/>
        </w:rPr>
        <w:t xml:space="preserve">Chirurgia oro-maxilo-facială ca ştiinţă medicală. Obiectul şi sarcinile. </w:t>
      </w:r>
      <w:r>
        <w:rPr>
          <w:b w:val="0"/>
          <w:i w:val="0"/>
          <w:szCs w:val="28"/>
          <w:lang w:val="en-US"/>
        </w:rPr>
        <w:t>D</w:t>
      </w:r>
      <w:r w:rsidRPr="002A14CA">
        <w:rPr>
          <w:b w:val="0"/>
          <w:i w:val="0"/>
          <w:szCs w:val="28"/>
          <w:lang w:val="en-US"/>
        </w:rPr>
        <w:t xml:space="preserve">efiniţia specialităţii, interrelaţii cu celălalte specializări ale </w:t>
      </w:r>
      <w:r>
        <w:rPr>
          <w:b w:val="0"/>
          <w:i w:val="0"/>
          <w:szCs w:val="28"/>
          <w:lang w:val="en-US"/>
        </w:rPr>
        <w:t>stomatologiei. Teritoriul anatomic al chirurgiei OMF (limite, planuri, structuri anatomice)</w:t>
      </w:r>
    </w:p>
    <w:p w:rsidR="00CB424F" w:rsidRPr="00366AE5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Istoricul chirurgiei OMF și al catedrei</w:t>
      </w:r>
    </w:p>
    <w:p w:rsidR="00CB424F" w:rsidRPr="00FB4D71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FB4D71">
        <w:rPr>
          <w:szCs w:val="28"/>
        </w:rPr>
        <w:t>Formele de asistenţă stom</w:t>
      </w:r>
      <w:r>
        <w:rPr>
          <w:szCs w:val="28"/>
        </w:rPr>
        <w:t>atologică chirurgicală (</w:t>
      </w:r>
      <w:r w:rsidRPr="00FB4D71">
        <w:rPr>
          <w:szCs w:val="28"/>
        </w:rPr>
        <w:t>profilactic</w:t>
      </w:r>
      <w:r>
        <w:rPr>
          <w:szCs w:val="28"/>
        </w:rPr>
        <w:t>ă</w:t>
      </w:r>
      <w:r w:rsidRPr="00FB4D71">
        <w:rPr>
          <w:szCs w:val="28"/>
        </w:rPr>
        <w:t>, planic</w:t>
      </w:r>
      <w:r>
        <w:rPr>
          <w:szCs w:val="28"/>
        </w:rPr>
        <w:t>ă,</w:t>
      </w:r>
      <w:r w:rsidRPr="00FB4D71">
        <w:rPr>
          <w:szCs w:val="28"/>
        </w:rPr>
        <w:t xml:space="preserve"> de </w:t>
      </w:r>
      <w:r>
        <w:rPr>
          <w:szCs w:val="28"/>
        </w:rPr>
        <w:t>urgenţă) şi conţinutul</w:t>
      </w:r>
      <w:r w:rsidRPr="00FB4D71">
        <w:rPr>
          <w:szCs w:val="28"/>
        </w:rPr>
        <w:t xml:space="preserve"> lor.</w:t>
      </w:r>
      <w:r>
        <w:rPr>
          <w:szCs w:val="28"/>
        </w:rPr>
        <w:t xml:space="preserve"> </w:t>
      </w:r>
      <w:r w:rsidRPr="00366AE5">
        <w:rPr>
          <w:szCs w:val="28"/>
          <w:lang w:val="en-US"/>
        </w:rPr>
        <w:t>P</w:t>
      </w:r>
      <w:r w:rsidRPr="002A14CA">
        <w:rPr>
          <w:szCs w:val="28"/>
          <w:lang w:val="en-US"/>
        </w:rPr>
        <w:t>rincipii generale ale tehnicilor chirurgicale</w:t>
      </w:r>
      <w:r>
        <w:rPr>
          <w:szCs w:val="28"/>
          <w:lang w:val="en-US"/>
        </w:rPr>
        <w:t>.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Principiile de bază ale organizării asistenţei stomatologice chirurgicale  în ambulator şi în staţionar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Cerinţele amenajării</w:t>
      </w:r>
      <w:r w:rsidRPr="008B5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de microclimă şi organizării cabinetului (secţiei) chirurgical (pereţii, podeaua, tavanul, ventilarea, lavuar, canalizare, geamuri etc.).</w:t>
      </w:r>
    </w:p>
    <w:p w:rsidR="00CB424F" w:rsidRPr="00AF26C8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Utilarea şi înzestrarea cabinetului chirurgical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utilaj, mobilă şi instrumentar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ul stomatologic.Cerinţele sanitaro-igienice faţă de utilaj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mobilă stomatologică.</w:t>
      </w:r>
    </w:p>
    <w:p w:rsidR="00CB424F" w:rsidRPr="00A24F54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A24F54">
        <w:rPr>
          <w:szCs w:val="28"/>
        </w:rPr>
        <w:t>Cerinţele de construcţie şi de amplasare ale cabinetului (secţiei) de stomatologie chirurgicală în cadrul policlinicilor de larg profil, stomatologice sau în cadrul spitalului.</w:t>
      </w:r>
      <w:r>
        <w:rPr>
          <w:szCs w:val="28"/>
        </w:rPr>
        <w:t xml:space="preserve"> </w:t>
      </w:r>
      <w:r w:rsidRPr="00A24F54">
        <w:rPr>
          <w:szCs w:val="28"/>
        </w:rPr>
        <w:t>Regulile de igienă personală</w:t>
      </w:r>
      <w:r w:rsidRPr="00A24F54">
        <w:rPr>
          <w:szCs w:val="28"/>
          <w:lang w:val="en-US"/>
        </w:rPr>
        <w:t>, etică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şi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deontologie.</w:t>
      </w:r>
      <w:r>
        <w:rPr>
          <w:szCs w:val="28"/>
          <w:lang w:val="en-US"/>
        </w:rPr>
        <w:t xml:space="preserve"> </w:t>
      </w:r>
      <w:r w:rsidRPr="00A24F54">
        <w:rPr>
          <w:szCs w:val="28"/>
        </w:rPr>
        <w:t>Aspectul exterior  al medicului chirurg în instituţie medicală.</w:t>
      </w:r>
    </w:p>
    <w:p w:rsidR="00CB424F" w:rsidRPr="00985AD0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b/>
          <w:szCs w:val="28"/>
        </w:rPr>
      </w:pPr>
      <w:r>
        <w:rPr>
          <w:szCs w:val="28"/>
        </w:rPr>
        <w:t xml:space="preserve">Documentaţia medicală stomatologică în cabinet (secţie) de chirurgie OMF.(fișa stomatologică de ambulatoriu (F143), fișa de observație de staționar) </w:t>
      </w:r>
      <w:r w:rsidRPr="00985AD0">
        <w:rPr>
          <w:b/>
          <w:szCs w:val="28"/>
        </w:rPr>
        <w:t>(De completat câte un model)</w:t>
      </w:r>
    </w:p>
    <w:p w:rsidR="00CB424F" w:rsidRPr="00985AD0" w:rsidRDefault="00CB424F" w:rsidP="00CB424F">
      <w:pPr>
        <w:pStyle w:val="BodyTextIndent"/>
        <w:tabs>
          <w:tab w:val="left" w:pos="0"/>
        </w:tabs>
        <w:ind w:left="-426" w:right="454" w:firstLine="0"/>
        <w:rPr>
          <w:b/>
          <w:sz w:val="16"/>
          <w:szCs w:val="16"/>
        </w:rPr>
      </w:pPr>
    </w:p>
    <w:p w:rsidR="00CB424F" w:rsidRPr="0050505D" w:rsidRDefault="00CB424F" w:rsidP="00CB424F">
      <w:pPr>
        <w:pStyle w:val="Title"/>
        <w:tabs>
          <w:tab w:val="left" w:pos="-284"/>
        </w:tabs>
        <w:ind w:left="-567" w:right="454"/>
        <w:rPr>
          <w:b w:val="0"/>
          <w:i w:val="0"/>
          <w:sz w:val="20"/>
        </w:rPr>
      </w:pPr>
      <w:r w:rsidRPr="0050505D">
        <w:rPr>
          <w:b w:val="0"/>
          <w:i w:val="0"/>
          <w:sz w:val="20"/>
        </w:rPr>
        <w:t>Bibliografia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Materialele lecţiilor.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 xml:space="preserve">C. Burlibaşa Chirurgie orală şi maxilofacială. Bucureşti 1999 pag. </w:t>
      </w:r>
      <w:r w:rsidRPr="00985AD0">
        <w:rPr>
          <w:b w:val="0"/>
          <w:i w:val="0"/>
          <w:sz w:val="16"/>
          <w:szCs w:val="16"/>
          <w:lang w:val="ru-RU"/>
        </w:rPr>
        <w:t>51</w:t>
      </w:r>
      <w:r w:rsidRPr="00985AD0">
        <w:rPr>
          <w:b w:val="0"/>
          <w:i w:val="0"/>
          <w:sz w:val="16"/>
          <w:szCs w:val="16"/>
        </w:rPr>
        <w:t>-162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G. Timoşca C. Burlibaşa Chirurgie buco-maxilo-facială Chişinău 1992 pag. 51-136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  <w:lang w:val="ru-RU"/>
        </w:rPr>
      </w:pPr>
      <w:r w:rsidRPr="00985AD0">
        <w:rPr>
          <w:b w:val="0"/>
          <w:i w:val="0"/>
          <w:sz w:val="16"/>
          <w:szCs w:val="16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>Larry J. Peterson „Contemporary Oral and Maxillofacial Surgery”, fourth edition, 2003, USA.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 xml:space="preserve">Fragiskos D. Fragiskos „Oral surgery”, </w:t>
      </w:r>
      <w:r w:rsidRPr="00985AD0">
        <w:rPr>
          <w:rFonts w:ascii="Times New Roman" w:eastAsia="MinionPro-Regular" w:hAnsi="Times New Roman" w:cs="Times New Roman"/>
          <w:color w:val="141314"/>
          <w:sz w:val="16"/>
          <w:szCs w:val="16"/>
          <w:lang w:val="en-US"/>
        </w:rPr>
        <w:t>Springer-Verlag Berlin Heidelberg, 2007.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2</w:t>
      </w:r>
    </w:p>
    <w:p w:rsidR="00CB424F" w:rsidRDefault="00CB424F" w:rsidP="00CB424F">
      <w:pPr>
        <w:pStyle w:val="Title"/>
        <w:ind w:right="595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right="595"/>
        <w:rPr>
          <w:szCs w:val="28"/>
        </w:rPr>
      </w:pPr>
    </w:p>
    <w:p w:rsidR="00CB424F" w:rsidRPr="00A81E47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</w:t>
      </w:r>
      <w:r>
        <w:rPr>
          <w:szCs w:val="28"/>
        </w:rPr>
        <w:t>a capului și gâtului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683E32">
        <w:rPr>
          <w:szCs w:val="28"/>
        </w:rPr>
        <w:t xml:space="preserve"> </w:t>
      </w:r>
      <w:r w:rsidRPr="00DB1F25">
        <w:rPr>
          <w:szCs w:val="28"/>
        </w:rPr>
        <w:t>În cadrul lucrării practice studenţii</w:t>
      </w:r>
      <w:r w:rsidRPr="004772DE">
        <w:rPr>
          <w:szCs w:val="28"/>
        </w:rPr>
        <w:t xml:space="preserve"> însuşesc particularităţil</w:t>
      </w:r>
      <w:r>
        <w:rPr>
          <w:szCs w:val="28"/>
        </w:rPr>
        <w:t xml:space="preserve">e </w:t>
      </w:r>
      <w:r w:rsidRPr="004772DE">
        <w:rPr>
          <w:szCs w:val="28"/>
        </w:rPr>
        <w:t>anatomo-morfologice a</w:t>
      </w:r>
      <w:r>
        <w:rPr>
          <w:szCs w:val="28"/>
        </w:rPr>
        <w:t>le</w:t>
      </w:r>
      <w:r w:rsidRPr="004772DE">
        <w:rPr>
          <w:szCs w:val="28"/>
        </w:rPr>
        <w:t xml:space="preserve"> splanhocran</w:t>
      </w:r>
      <w:r>
        <w:rPr>
          <w:szCs w:val="28"/>
        </w:rPr>
        <w:t>i</w:t>
      </w:r>
      <w:r w:rsidRPr="004772DE">
        <w:rPr>
          <w:szCs w:val="28"/>
        </w:rPr>
        <w:t>ului</w:t>
      </w:r>
      <w:r>
        <w:rPr>
          <w:szCs w:val="28"/>
        </w:rPr>
        <w:t>,</w:t>
      </w:r>
      <w:r w:rsidRPr="004772DE">
        <w:rPr>
          <w:szCs w:val="28"/>
        </w:rPr>
        <w:t xml:space="preserve"> regiunile feţei</w:t>
      </w:r>
      <w:r>
        <w:rPr>
          <w:szCs w:val="28"/>
        </w:rPr>
        <w:t>,</w:t>
      </w:r>
      <w:r w:rsidRPr="004772DE">
        <w:rPr>
          <w:szCs w:val="28"/>
        </w:rPr>
        <w:t xml:space="preserve"> ana</w:t>
      </w:r>
      <w:r>
        <w:rPr>
          <w:szCs w:val="28"/>
        </w:rPr>
        <w:t>tomia  oaselor şi a A</w:t>
      </w:r>
      <w:r w:rsidRPr="004772DE">
        <w:rPr>
          <w:szCs w:val="28"/>
        </w:rPr>
        <w:t xml:space="preserve"> T.M.</w:t>
      </w:r>
      <w:r>
        <w:rPr>
          <w:szCs w:val="28"/>
        </w:rPr>
        <w:t xml:space="preserve">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</w:p>
    <w:p w:rsidR="00CB424F" w:rsidRPr="0050505D" w:rsidRDefault="00CB424F" w:rsidP="00CB424F">
      <w:pPr>
        <w:pStyle w:val="Title"/>
        <w:ind w:right="595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Etajele şi regiunile</w:t>
      </w:r>
      <w:r>
        <w:rPr>
          <w:b w:val="0"/>
          <w:i w:val="0"/>
          <w:szCs w:val="28"/>
        </w:rPr>
        <w:t xml:space="preserve"> superficiale și profunde ale</w:t>
      </w:r>
      <w:r w:rsidRPr="00055A8F">
        <w:rPr>
          <w:b w:val="0"/>
          <w:i w:val="0"/>
          <w:szCs w:val="28"/>
        </w:rPr>
        <w:t xml:space="preserve"> feţei.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Oasele</w:t>
      </w:r>
      <w:r w:rsidRPr="00055A8F">
        <w:rPr>
          <w:b w:val="0"/>
          <w:i w:val="0"/>
          <w:szCs w:val="28"/>
        </w:rPr>
        <w:t xml:space="preserve"> ce formează scheletul facial.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capului.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Spațiile sau lojele osteo-faciale și intermusculare ale capului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Mușchii mimici (clasificarea și funcția acestora)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Topografia gâtului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gâtului (PNA și Șevkunenko).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Default="00CB424F" w:rsidP="00CB424F">
      <w:pPr>
        <w:pStyle w:val="Title"/>
        <w:ind w:right="595"/>
        <w:jc w:val="both"/>
        <w:rPr>
          <w:b w:val="0"/>
          <w:i w:val="0"/>
          <w:sz w:val="20"/>
        </w:rPr>
      </w:pP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 w:rsidRPr="00A24F54">
        <w:rPr>
          <w:b w:val="0"/>
          <w:i w:val="0"/>
          <w:sz w:val="24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Pr="00DB1F25" w:rsidRDefault="00CB424F" w:rsidP="00CB424F">
      <w:pPr>
        <w:pStyle w:val="Title"/>
        <w:jc w:val="both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3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a </w:t>
      </w:r>
      <w:r>
        <w:rPr>
          <w:szCs w:val="28"/>
        </w:rPr>
        <w:t>maxilarului superior și inferior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anatomia chirurgicală </w:t>
      </w:r>
      <w:r w:rsidRPr="004772DE">
        <w:rPr>
          <w:szCs w:val="28"/>
        </w:rPr>
        <w:t xml:space="preserve">a </w:t>
      </w:r>
      <w:r>
        <w:rPr>
          <w:szCs w:val="28"/>
        </w:rPr>
        <w:t xml:space="preserve">maxilarelor superior și inferior.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284"/>
        </w:tabs>
        <w:ind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Default="00CB424F" w:rsidP="00CB424F">
      <w:pPr>
        <w:tabs>
          <w:tab w:val="left" w:pos="142"/>
        </w:tabs>
        <w:ind w:left="-284" w:right="454"/>
        <w:rPr>
          <w:rFonts w:ascii="Times New Roman" w:hAnsi="Times New Roman" w:cs="Times New Roman"/>
          <w:lang w:val="ro-RO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 anatomo-morfologice</w:t>
      </w:r>
      <w:r>
        <w:rPr>
          <w:b w:val="0"/>
          <w:i w:val="0"/>
          <w:szCs w:val="28"/>
        </w:rPr>
        <w:t xml:space="preserve"> ale maxilarului superior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Pr="00573F91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573F91" w:rsidRPr="00055A8F" w:rsidRDefault="00573F91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sinusului maxilar. Funcțiile acestuia.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maxilarului inferior</w:t>
      </w:r>
      <w:r w:rsidRPr="00055A8F">
        <w:rPr>
          <w:b w:val="0"/>
          <w:i w:val="0"/>
          <w:szCs w:val="28"/>
        </w:rPr>
        <w:t>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Elementele anatomi</w:t>
      </w:r>
      <w:r>
        <w:rPr>
          <w:b w:val="0"/>
          <w:i w:val="0"/>
          <w:szCs w:val="28"/>
        </w:rPr>
        <w:t>ce principale ale ATM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desenat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Funcţiile de bază a</w:t>
      </w:r>
      <w:r>
        <w:rPr>
          <w:b w:val="0"/>
          <w:i w:val="0"/>
          <w:szCs w:val="28"/>
        </w:rPr>
        <w:t>le</w:t>
      </w:r>
      <w:r w:rsidRPr="00055A8F">
        <w:rPr>
          <w:b w:val="0"/>
          <w:i w:val="0"/>
          <w:szCs w:val="28"/>
        </w:rPr>
        <w:t xml:space="preserve"> ATM.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desenat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>
        <w:rPr>
          <w:i w:val="0"/>
          <w:szCs w:val="28"/>
        </w:rPr>
        <w:t>De de</w:t>
      </w:r>
      <w:r w:rsidRPr="00A24F54">
        <w:rPr>
          <w:i w:val="0"/>
          <w:szCs w:val="28"/>
        </w:rPr>
        <w:t>senat</w:t>
      </w:r>
    </w:p>
    <w:p w:rsidR="00CB424F" w:rsidRPr="00055A8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 w:val="20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clear" w:pos="720"/>
          <w:tab w:val="left" w:pos="-284"/>
        </w:tabs>
        <w:spacing w:after="0"/>
        <w:ind w:left="-567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bookmarkStart w:id="0" w:name="_GoBack"/>
      <w:bookmarkEnd w:id="0"/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4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Scopul esenţial al exam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nului clinic.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Condiţiile deontologice şi de etică medicală în examinarea pacienţilor.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Etap</w:t>
      </w:r>
      <w:r>
        <w:rPr>
          <w:rFonts w:ascii="Times New Roman" w:hAnsi="Times New Roman" w:cs="Times New Roman"/>
          <w:sz w:val="28"/>
          <w:szCs w:val="28"/>
          <w:lang w:val="ro-RO"/>
        </w:rPr>
        <w:t>ele examenului clinic al pacienţilor cu afecţiunilor OMF.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Sta</w:t>
      </w:r>
      <w:r>
        <w:rPr>
          <w:rFonts w:ascii="Times New Roman" w:hAnsi="Times New Roman" w:cs="Times New Roman"/>
          <w:sz w:val="28"/>
          <w:szCs w:val="28"/>
          <w:lang w:val="ro-RO"/>
        </w:rPr>
        <w:t>bilirea identităţii pacientului (datele de paşaport).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subiectiv. Anamneza. Metode. Avantaje, dezavantaje.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Acuzele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principale cu care se </w:t>
      </w:r>
      <w:r>
        <w:rPr>
          <w:rFonts w:ascii="Times New Roman" w:hAnsi="Times New Roman" w:cs="Times New Roman"/>
          <w:sz w:val="28"/>
          <w:szCs w:val="28"/>
          <w:lang w:val="ro-RO"/>
        </w:rPr>
        <w:t>adresează pacienţii cu afecţiuni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OMF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Durerea. Definiţia. Tipurile, caracterul.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Elementele principale ce caracterizează durerea.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Pr="004F2822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307047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5</w:t>
      </w:r>
    </w:p>
    <w:p w:rsidR="00307047" w:rsidRDefault="00307047" w:rsidP="00307047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307047" w:rsidRPr="00DB1F25" w:rsidRDefault="00307047" w:rsidP="00307047">
      <w:pPr>
        <w:pStyle w:val="Title"/>
        <w:ind w:left="720" w:right="454"/>
        <w:rPr>
          <w:szCs w:val="28"/>
        </w:rPr>
      </w:pPr>
    </w:p>
    <w:p w:rsidR="00307047" w:rsidRPr="00146D8A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307047" w:rsidRDefault="00307047" w:rsidP="0030704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307047" w:rsidRPr="004772DE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Elementele principale ce caracterizează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defectele şi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deformaţiile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Anamneza bolii (actualei maladii).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vieţii. 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alergologică.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Examenul obiectiv exo și endo-bucal.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Examenul stării generale a bolnavului, scopurile principale, corelaţia dintre starea generală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leziunile oro-maxilo-faciale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6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D151E0" w:rsidRDefault="00CB424F" w:rsidP="00CB424F">
      <w:pPr>
        <w:pStyle w:val="BodyTex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1E0">
        <w:rPr>
          <w:rFonts w:ascii="Times New Roman" w:hAnsi="Times New Roman" w:cs="Times New Roman"/>
          <w:sz w:val="28"/>
          <w:szCs w:val="28"/>
          <w:lang w:val="en-US"/>
        </w:rPr>
        <w:t>Explorări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paraclinice loco-regionale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cs="Times New Roman"/>
          <w:sz w:val="28"/>
          <w:szCs w:val="28"/>
          <w:lang w:val="en-US"/>
        </w:rPr>
        <w:t>ș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generale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utilizate în chirurgia OMF. S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copul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rolul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pentru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precizarea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diagnosticului.</w:t>
      </w:r>
    </w:p>
    <w:p w:rsidR="00CB424F" w:rsidRDefault="00CB424F" w:rsidP="00CB42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Examenele de laborator</w:t>
      </w:r>
      <w:r>
        <w:rPr>
          <w:rFonts w:ascii="Times New Roman" w:hAnsi="Times New Roman" w:cs="Times New Roman"/>
          <w:sz w:val="28"/>
          <w:szCs w:val="28"/>
          <w:lang w:val="ro-RO"/>
        </w:rPr>
        <w:t>. Indicaţii şi însemnătatea clinică.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hemograma (eritrocite, leucocite, trombocite, hemoglobina);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timpul de sângerare și coagulare;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timpul de retracție a cheagului, hematocritul;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glicemia;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colesterolul;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vitamina D;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bacteriologic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morfologic.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histologic.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citologic.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D151E0" w:rsidRDefault="00307047" w:rsidP="00307047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7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iopsia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Definiţia. Metodele. 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alergologic.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 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Somatoscopia.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Termografia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Ecografia 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8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 utilizate pentru depistarea afecţiunilor oro-maxilo-faciale.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radiologic. Formarea imaginii radiografice.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endoorale. Caracteristica.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periapicala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muscata</w:t>
      </w:r>
      <w:r w:rsidRPr="0030704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  <w:t> (bitewing)</w:t>
      </w:r>
    </w:p>
    <w:p w:rsid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ocluzala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exoorale.Tipuri. Caracteristica.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Ortopantomografia. Caracteristica. Însemnătatea clinică.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Tomografia computerizată (CT). Caracteristica. Însemnătatea clinică.</w:t>
      </w: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6100A1" w:rsidRDefault="006100A1" w:rsidP="006100A1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9</w:t>
      </w:r>
    </w:p>
    <w:p w:rsidR="006100A1" w:rsidRDefault="006100A1" w:rsidP="006100A1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ind w:left="720"/>
        <w:rPr>
          <w:szCs w:val="28"/>
        </w:rPr>
      </w:pPr>
    </w:p>
    <w:p w:rsidR="006100A1" w:rsidRPr="00146D8A" w:rsidRDefault="006100A1" w:rsidP="006100A1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</w:t>
      </w:r>
      <w:r w:rsidR="0083413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radioizotopice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utilizate pentru depistarea afecţiunilor oro-maxilo-faciale.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Rezonanţa magnetică nucleară (RMN). Caracteristica. Indicaţii şi însemnătatea clinică.</w:t>
      </w:r>
    </w:p>
    <w:p w:rsidR="006100A1" w:rsidRPr="00810D48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810D48">
        <w:rPr>
          <w:rFonts w:ascii="Times New Roman" w:hAnsi="Times New Roman" w:cs="Times New Roman"/>
          <w:sz w:val="28"/>
          <w:szCs w:val="28"/>
          <w:lang w:val="ro-RO"/>
        </w:rPr>
        <w:t xml:space="preserve">Radiografii cu utilizarea substanţei de contrast. Caracteristica. Indicaţii şi </w:t>
      </w:r>
      <w:r>
        <w:rPr>
          <w:rFonts w:ascii="Times New Roman" w:hAnsi="Times New Roman" w:cs="Times New Roman"/>
          <w:sz w:val="28"/>
          <w:szCs w:val="28"/>
          <w:lang w:val="ro-RO"/>
        </w:rPr>
        <w:t>rolul clinic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ialografia</w:t>
      </w:r>
      <w:r>
        <w:rPr>
          <w:rFonts w:ascii="Times New Roman" w:hAnsi="Times New Roman" w:cs="Times New Roman"/>
          <w:sz w:val="28"/>
          <w:szCs w:val="28"/>
          <w:lang w:val="ro-RO"/>
        </w:rPr>
        <w:t>, angiografia, scintigrafia, fistulografia, artrografia, limfografia.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Teleradiografia. Caracteristica. Scopul şi însemnătatea clinică.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10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Pr="00834133" w:rsidRDefault="00834133" w:rsidP="00834133">
      <w:pPr>
        <w:pStyle w:val="ListParagraph"/>
        <w:tabs>
          <w:tab w:val="left" w:pos="142"/>
        </w:tabs>
        <w:spacing w:after="0" w:line="240" w:lineRule="auto"/>
        <w:ind w:left="-284" w:right="708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4133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Introducere în prevenţia oro-dentară (chirurgia OMF). Noţiuni de prevenţia primară, prevenţia secundară şi prevenţia terţiară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</w:p>
    <w:p w:rsidR="00834133" w:rsidRDefault="00834133" w:rsidP="008341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834133" w:rsidRPr="004772DE" w:rsidRDefault="00834133" w:rsidP="00834133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834133" w:rsidRPr="0050505D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medicină preventivă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Etapele prevenţiei oro-dentare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primară. Metode și nivele.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secundară. Metode și nivele.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terțiară. Metode și nivele.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1</w:t>
      </w:r>
      <w:r w:rsidR="00A64D7E">
        <w:rPr>
          <w:szCs w:val="28"/>
        </w:rPr>
        <w:t>1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asepsie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Metodele de asepsie.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ezinfecţi</w:t>
      </w:r>
      <w:r>
        <w:rPr>
          <w:rFonts w:ascii="Times New Roman" w:hAnsi="Times New Roman" w:cs="Times New Roman"/>
          <w:sz w:val="28"/>
          <w:szCs w:val="28"/>
          <w:lang w:val="ro-RO"/>
        </w:rPr>
        <w:t>a. Definiție, metode.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Grupele de substanţe dezinfectante. Caracteristica. Reprezentanţi ai grupelor.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</w:t>
      </w:r>
      <w:r w:rsidR="00A64D7E">
        <w:rPr>
          <w:szCs w:val="28"/>
        </w:rPr>
        <w:t>2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Pr="006B78C5" w:rsidRDefault="006100A1" w:rsidP="006100A1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Pr="00004F9C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right="45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F9C">
        <w:rPr>
          <w:rFonts w:ascii="Times New Roman" w:hAnsi="Times New Roman" w:cs="Times New Roman"/>
          <w:sz w:val="28"/>
          <w:szCs w:val="28"/>
          <w:lang w:val="ro-RO"/>
        </w:rPr>
        <w:t>Presterilizarea: d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finiția, etapel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Style w:val="Bodytext310pt"/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instrumentarului medical reutilizabil înainte de sterilizare.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 materialelor stomatologice în vederea sterilizării;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p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ieselor stomatologice în vederea sterilizării.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A64D7E">
        <w:rPr>
          <w:szCs w:val="28"/>
        </w:rPr>
        <w:t>3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Sterilizarea, definiţia. Mijloacele de sterilizare.</w:t>
      </w:r>
    </w:p>
    <w:p w:rsidR="00CB424F" w:rsidRPr="001C2F9C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 prin căldură umedă.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căldură uscată.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alte metode fizice (fierberea, glasperlenul, infraroşu, iradiere e.t.c.). Caracteristica, utilaj, avantaje şi dezavantaje.</w:t>
      </w: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14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05610" w:rsidRPr="006B78C5" w:rsidRDefault="00605610" w:rsidP="00605610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605610" w:rsidRDefault="00605610" w:rsidP="0060561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05610" w:rsidRPr="004772DE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05610" w:rsidRPr="0050505D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mijloace chimice. Caracteristica, utilaj, avantaje şi dezavantaje.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 de substanțe dezinfectante. Mecanismul lor de acțiune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 xml:space="preserve"> de control 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calită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ţii sterilizării.</w:t>
      </w: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P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-284" w:right="454"/>
        <w:rPr>
          <w:szCs w:val="28"/>
        </w:rPr>
      </w:pPr>
    </w:p>
    <w:p w:rsidR="00CB424F" w:rsidRDefault="00CB424F" w:rsidP="00CB424F">
      <w:pPr>
        <w:pStyle w:val="Title"/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605610">
        <w:rPr>
          <w:szCs w:val="28"/>
        </w:rPr>
        <w:t>5</w:t>
      </w:r>
    </w:p>
    <w:p w:rsidR="00CB424F" w:rsidRDefault="00CB424F" w:rsidP="00CB424F">
      <w:pPr>
        <w:pStyle w:val="Title"/>
        <w:ind w:left="-284" w:right="454"/>
        <w:rPr>
          <w:szCs w:val="28"/>
        </w:rPr>
      </w:pPr>
      <w:r>
        <w:rPr>
          <w:szCs w:val="28"/>
        </w:rPr>
        <w:t xml:space="preserve"> 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-284" w:right="454"/>
        <w:rPr>
          <w:szCs w:val="28"/>
        </w:rPr>
      </w:pPr>
    </w:p>
    <w:p w:rsidR="00CB424F" w:rsidRPr="006B78C5" w:rsidRDefault="00CB424F" w:rsidP="00CB424F">
      <w:pPr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Antisepsia în cabinetul (secţia) de chirurgie oro-maxilo-facială.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antisepsiei.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Definiţia, conţinutul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 şi isto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ricul noţiunii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antisepsie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 Metodele şi mijloacele prin care se obţine antisepsia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Antisepsia mecanică. Caracteristica. 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Antisepsia fizică.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 Antisepsia chimică.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Antisepsia biologică. Caracteristica.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Antisepsia mixtă.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.Remedii </w:t>
      </w:r>
      <w:r>
        <w:rPr>
          <w:rFonts w:ascii="Times New Roman" w:hAnsi="Times New Roman" w:cs="Times New Roman"/>
          <w:sz w:val="28"/>
          <w:szCs w:val="28"/>
          <w:lang w:val="ro-RO"/>
        </w:rPr>
        <w:t>antiseptice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Definiţia. Mecanismul de acţiune.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</w:t>
      </w:r>
      <w:r w:rsidR="00605610">
        <w:rPr>
          <w:szCs w:val="28"/>
        </w:rPr>
        <w:t>6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Pregătirea pacientului şi a medicului chirurg către intervenţie în secţia (cabinetul) de chirurgie oro-maxilo-facială.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particularităţile pregătirii bolnavului şi a medicului către intervenţie chirurgicală.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640A">
        <w:rPr>
          <w:rFonts w:ascii="Times New Roman" w:hAnsi="Times New Roman" w:cs="Times New Roman"/>
          <w:sz w:val="28"/>
          <w:szCs w:val="28"/>
          <w:lang w:val="ro-RO"/>
        </w:rPr>
        <w:t>Particularităţile intervenţiilor de chirurgie orală şi maxilo-facială.</w:t>
      </w:r>
    </w:p>
    <w:p w:rsidR="00CB424F" w:rsidRPr="007C640A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Scopul pregătirii preoperatorii a bolnavului.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74A4">
        <w:rPr>
          <w:rFonts w:ascii="Times New Roman" w:hAnsi="Times New Roman" w:cs="Times New Roman"/>
          <w:sz w:val="28"/>
          <w:szCs w:val="28"/>
          <w:lang w:val="ro-RO"/>
        </w:rPr>
        <w:t>Pregătirea psihică a bolnavului în secţie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biologică a pacientului către intervenţie in secţia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Premedicaţia (pre-anestezia)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Pregătirea fizică (chirurgicală) a pacientului către intervenţie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medicului chirurg către intervenţie în secţie (cabinet) de chirurgie OMF. Echipamentul necesar.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Dezinfectarea mâinilor chirurgului. Tehnici. Caracteristica.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5E28DD" w:rsidRPr="00CB424F" w:rsidRDefault="005E28DD">
      <w:pPr>
        <w:rPr>
          <w:lang w:val="ro-RO"/>
        </w:rPr>
      </w:pPr>
    </w:p>
    <w:sectPr w:rsidR="005E28DD" w:rsidRPr="00CB424F" w:rsidSect="00834133">
      <w:headerReference w:type="default" r:id="rId7"/>
      <w:pgSz w:w="11906" w:h="16838"/>
      <w:pgMar w:top="1134" w:right="850" w:bottom="709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19" w:rsidRDefault="00481219" w:rsidP="006B2663">
      <w:pPr>
        <w:spacing w:after="0" w:line="240" w:lineRule="auto"/>
      </w:pPr>
      <w:r>
        <w:separator/>
      </w:r>
    </w:p>
  </w:endnote>
  <w:endnote w:type="continuationSeparator" w:id="1">
    <w:p w:rsidR="00481219" w:rsidRDefault="00481219" w:rsidP="006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19" w:rsidRDefault="00481219" w:rsidP="006B2663">
      <w:pPr>
        <w:spacing w:after="0" w:line="240" w:lineRule="auto"/>
      </w:pPr>
      <w:r>
        <w:separator/>
      </w:r>
    </w:p>
  </w:footnote>
  <w:footnote w:type="continuationSeparator" w:id="1">
    <w:p w:rsidR="00481219" w:rsidRDefault="00481219" w:rsidP="006B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573F91" w:rsidRPr="00E97607" w:rsidTr="008341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573F91" w:rsidRPr="00E97607" w:rsidRDefault="00050B85" w:rsidP="00834133">
          <w:pPr>
            <w:pStyle w:val="Header"/>
          </w:pPr>
          <w:r w:rsidRPr="00050B85">
            <w:rPr>
              <w:noProof/>
            </w:rPr>
            <w:pict>
              <v:rect id="_x0000_s1025" style="position:absolute;margin-left:-50.85pt;margin-top:0;width:513pt;height:759.1pt;z-index:251658240" o:allowincell="f" filled="f"/>
            </w:pict>
          </w:r>
          <w:r w:rsidR="00573F91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F91" w:rsidRPr="005E1F41" w:rsidRDefault="00573F91" w:rsidP="0083413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573F91" w:rsidRPr="00E97607" w:rsidTr="008341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Pr="0050505D" w:rsidRDefault="00573F91" w:rsidP="00834133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</w:p>
      </w:tc>
    </w:tr>
    <w:tr w:rsidR="00573F91" w:rsidRPr="00E97607" w:rsidTr="008341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573F91" w:rsidRDefault="00573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1D"/>
    <w:multiLevelType w:val="hybridMultilevel"/>
    <w:tmpl w:val="8A80E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E31D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8667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70D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9180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54D"/>
    <w:multiLevelType w:val="hybridMultilevel"/>
    <w:tmpl w:val="A218FE7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45C42D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859AD"/>
    <w:multiLevelType w:val="hybridMultilevel"/>
    <w:tmpl w:val="2FB0B96E"/>
    <w:lvl w:ilvl="0" w:tplc="FDECE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376"/>
    <w:multiLevelType w:val="multilevel"/>
    <w:tmpl w:val="86165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7652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D32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2352EF"/>
    <w:multiLevelType w:val="hybridMultilevel"/>
    <w:tmpl w:val="D8F6ECE4"/>
    <w:lvl w:ilvl="0" w:tplc="925E94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668A"/>
    <w:multiLevelType w:val="hybridMultilevel"/>
    <w:tmpl w:val="12DCD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F5AE4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71F7D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F5B3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231E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D7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D84BA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71A15"/>
    <w:multiLevelType w:val="hybridMultilevel"/>
    <w:tmpl w:val="9C480C0A"/>
    <w:lvl w:ilvl="0" w:tplc="298AD7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2929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D2D4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600A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5106A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32E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5F46A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175B8"/>
    <w:multiLevelType w:val="multilevel"/>
    <w:tmpl w:val="E06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32DEC"/>
    <w:multiLevelType w:val="singleLevel"/>
    <w:tmpl w:val="02827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4F327A9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20417"/>
    <w:multiLevelType w:val="hybridMultilevel"/>
    <w:tmpl w:val="3F7E44D0"/>
    <w:lvl w:ilvl="0" w:tplc="7E72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711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60DCF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B3C60A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D60EF"/>
    <w:multiLevelType w:val="hybridMultilevel"/>
    <w:tmpl w:val="FC76D932"/>
    <w:lvl w:ilvl="0" w:tplc="E1DEA2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724A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C2F8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D8E3F58"/>
    <w:multiLevelType w:val="hybridMultilevel"/>
    <w:tmpl w:val="8902A1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0C57C85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223BB"/>
    <w:multiLevelType w:val="hybridMultilevel"/>
    <w:tmpl w:val="C9D0DFC2"/>
    <w:lvl w:ilvl="0" w:tplc="AC3AE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A0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B020B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C02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75727E5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6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7C2D1CE5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7EC64AFD"/>
    <w:multiLevelType w:val="multilevel"/>
    <w:tmpl w:val="2F1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"/>
  </w:num>
  <w:num w:numId="3">
    <w:abstractNumId w:val="38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42"/>
  </w:num>
  <w:num w:numId="9">
    <w:abstractNumId w:val="46"/>
  </w:num>
  <w:num w:numId="10">
    <w:abstractNumId w:val="25"/>
  </w:num>
  <w:num w:numId="11">
    <w:abstractNumId w:val="13"/>
  </w:num>
  <w:num w:numId="12">
    <w:abstractNumId w:val="0"/>
  </w:num>
  <w:num w:numId="13">
    <w:abstractNumId w:val="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16"/>
  </w:num>
  <w:num w:numId="18">
    <w:abstractNumId w:val="34"/>
  </w:num>
  <w:num w:numId="19">
    <w:abstractNumId w:val="2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30"/>
  </w:num>
  <w:num w:numId="25">
    <w:abstractNumId w:val="32"/>
  </w:num>
  <w:num w:numId="26">
    <w:abstractNumId w:val="6"/>
  </w:num>
  <w:num w:numId="27">
    <w:abstractNumId w:val="23"/>
  </w:num>
  <w:num w:numId="28">
    <w:abstractNumId w:val="37"/>
  </w:num>
  <w:num w:numId="29">
    <w:abstractNumId w:val="3"/>
  </w:num>
  <w:num w:numId="30">
    <w:abstractNumId w:val="33"/>
  </w:num>
  <w:num w:numId="31">
    <w:abstractNumId w:val="31"/>
  </w:num>
  <w:num w:numId="32">
    <w:abstractNumId w:val="12"/>
  </w:num>
  <w:num w:numId="33">
    <w:abstractNumId w:val="20"/>
  </w:num>
  <w:num w:numId="34">
    <w:abstractNumId w:val="28"/>
  </w:num>
  <w:num w:numId="35">
    <w:abstractNumId w:val="49"/>
  </w:num>
  <w:num w:numId="36">
    <w:abstractNumId w:val="24"/>
  </w:num>
  <w:num w:numId="37">
    <w:abstractNumId w:val="43"/>
  </w:num>
  <w:num w:numId="38">
    <w:abstractNumId w:val="8"/>
  </w:num>
  <w:num w:numId="39">
    <w:abstractNumId w:val="10"/>
  </w:num>
  <w:num w:numId="40">
    <w:abstractNumId w:val="36"/>
  </w:num>
  <w:num w:numId="41">
    <w:abstractNumId w:val="35"/>
  </w:num>
  <w:num w:numId="42">
    <w:abstractNumId w:val="45"/>
  </w:num>
  <w:num w:numId="43">
    <w:abstractNumId w:val="21"/>
  </w:num>
  <w:num w:numId="44">
    <w:abstractNumId w:val="44"/>
  </w:num>
  <w:num w:numId="45">
    <w:abstractNumId w:val="7"/>
  </w:num>
  <w:num w:numId="46">
    <w:abstractNumId w:val="39"/>
  </w:num>
  <w:num w:numId="47">
    <w:abstractNumId w:val="5"/>
  </w:num>
  <w:num w:numId="48">
    <w:abstractNumId w:val="41"/>
  </w:num>
  <w:num w:numId="49">
    <w:abstractNumId w:val="48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424F"/>
    <w:rsid w:val="00050B85"/>
    <w:rsid w:val="00122336"/>
    <w:rsid w:val="00307047"/>
    <w:rsid w:val="00395A76"/>
    <w:rsid w:val="00481219"/>
    <w:rsid w:val="00573F91"/>
    <w:rsid w:val="00597912"/>
    <w:rsid w:val="005E28DD"/>
    <w:rsid w:val="00605610"/>
    <w:rsid w:val="006100A1"/>
    <w:rsid w:val="00642FEA"/>
    <w:rsid w:val="00686612"/>
    <w:rsid w:val="006B2663"/>
    <w:rsid w:val="00701097"/>
    <w:rsid w:val="0082278E"/>
    <w:rsid w:val="00834133"/>
    <w:rsid w:val="0088115F"/>
    <w:rsid w:val="00A64D7E"/>
    <w:rsid w:val="00BB30AD"/>
    <w:rsid w:val="00CB424F"/>
    <w:rsid w:val="00DB5E93"/>
    <w:rsid w:val="00F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4F"/>
  </w:style>
  <w:style w:type="paragraph" w:styleId="Heading1">
    <w:name w:val="heading 1"/>
    <w:basedOn w:val="Normal"/>
    <w:next w:val="Normal"/>
    <w:link w:val="Heading1Char"/>
    <w:qFormat/>
    <w:rsid w:val="00CB4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CB424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CB424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CB42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B42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4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24F"/>
  </w:style>
  <w:style w:type="paragraph" w:styleId="NoSpacing">
    <w:name w:val="No Spacing"/>
    <w:link w:val="NoSpacingChar"/>
    <w:uiPriority w:val="1"/>
    <w:qFormat/>
    <w:rsid w:val="00CB424F"/>
    <w:pPr>
      <w:spacing w:after="0" w:line="240" w:lineRule="auto"/>
    </w:pPr>
  </w:style>
  <w:style w:type="character" w:customStyle="1" w:styleId="Bodytext3">
    <w:name w:val="Body text (3)_"/>
    <w:basedOn w:val="DefaultParagraphFont"/>
    <w:link w:val="Bodytext30"/>
    <w:rsid w:val="00CB424F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Spacing 0 pt"/>
    <w:basedOn w:val="Bodytext3"/>
    <w:rsid w:val="00CB424F"/>
    <w:rPr>
      <w:b/>
      <w:bCs/>
      <w:color w:val="000000"/>
      <w:spacing w:val="3"/>
      <w:w w:val="100"/>
      <w:position w:val="0"/>
      <w:sz w:val="20"/>
      <w:szCs w:val="20"/>
      <w:lang w:val="ro-RO"/>
    </w:rPr>
  </w:style>
  <w:style w:type="paragraph" w:customStyle="1" w:styleId="Bodytext30">
    <w:name w:val="Body text (3)"/>
    <w:basedOn w:val="Normal"/>
    <w:link w:val="Bodytext3"/>
    <w:rsid w:val="00CB424F"/>
    <w:pPr>
      <w:widowControl w:val="0"/>
      <w:shd w:val="clear" w:color="auto" w:fill="FFFFFF"/>
      <w:spacing w:after="0" w:line="278" w:lineRule="exact"/>
      <w:ind w:firstLine="68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Header">
    <w:name w:val="header"/>
    <w:basedOn w:val="Normal"/>
    <w:link w:val="HeaderChar"/>
    <w:rsid w:val="00CB424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CB4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CB424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424F"/>
  </w:style>
  <w:style w:type="paragraph" w:styleId="Footer">
    <w:name w:val="footer"/>
    <w:basedOn w:val="Normal"/>
    <w:link w:val="FooterChar"/>
    <w:uiPriority w:val="99"/>
    <w:semiHidden/>
    <w:unhideWhenUsed/>
    <w:rsid w:val="00C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4F"/>
  </w:style>
  <w:style w:type="character" w:customStyle="1" w:styleId="NoSpacingChar">
    <w:name w:val="No Spacing Char"/>
    <w:basedOn w:val="DefaultParagraphFont"/>
    <w:link w:val="NoSpacing"/>
    <w:uiPriority w:val="1"/>
    <w:rsid w:val="00395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Utilizator Windows</cp:lastModifiedBy>
  <cp:revision>7</cp:revision>
  <dcterms:created xsi:type="dcterms:W3CDTF">2017-09-01T05:37:00Z</dcterms:created>
  <dcterms:modified xsi:type="dcterms:W3CDTF">2020-08-27T13:58:00Z</dcterms:modified>
</cp:coreProperties>
</file>