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9A" w:rsidRPr="006B269A" w:rsidRDefault="006B269A" w:rsidP="000751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SIALOZELE</w:t>
      </w:r>
    </w:p>
    <w:p w:rsidR="006B269A" w:rsidRPr="006B269A" w:rsidRDefault="006B269A" w:rsidP="000751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PersonName">
        <w:smartTag w:uri="urn:schemas:contacts" w:element="GivenName">
          <w:r w:rsidRPr="006B269A">
            <w:rPr>
              <w:rFonts w:ascii="Times New Roman" w:hAnsi="Times New Roman" w:cs="Times New Roman"/>
              <w:sz w:val="24"/>
              <w:szCs w:val="24"/>
              <w:lang w:val="en-US"/>
            </w:rPr>
            <w:t>LEZIUNI</w:t>
          </w:r>
        </w:smartTag>
        <w:r w:rsidRPr="006B269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smartTag w:uri="urn:schemas:contacts" w:element="Sn">
          <w:r w:rsidRPr="006B269A">
            <w:rPr>
              <w:rFonts w:ascii="Times New Roman" w:hAnsi="Times New Roman" w:cs="Times New Roman"/>
              <w:sz w:val="24"/>
              <w:szCs w:val="24"/>
              <w:lang w:val="en-US"/>
            </w:rPr>
            <w:t>APARENT</w:t>
          </w:r>
        </w:smartTag>
      </w:smartTag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TUMORALE</w:t>
      </w:r>
    </w:p>
    <w:p w:rsidR="006B269A" w:rsidRPr="006B269A" w:rsidRDefault="006B269A" w:rsidP="006B269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un capitol de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patologi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ro-RO"/>
        </w:rPr>
        <w:t>i controversate, care includ</w:t>
      </w:r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sialomegaliile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neinflamatorii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1EF" w:rsidRPr="006B269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n care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predomina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fenomenele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fibrolipomatoza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sialomegalia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1EF" w:rsidRPr="006B269A"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6B269A">
        <w:rPr>
          <w:rFonts w:ascii="Times New Roman" w:hAnsi="Times New Roman" w:cs="Times New Roman"/>
          <w:sz w:val="24"/>
          <w:szCs w:val="24"/>
          <w:lang w:val="en-US"/>
        </w:rPr>
        <w:t>limfoepiteliale</w:t>
      </w:r>
      <w:proofErr w:type="spellEnd"/>
      <w:r w:rsidR="000751EF" w:rsidRPr="006B269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D1963" w:rsidRPr="006B269A" w:rsidRDefault="000751EF" w:rsidP="006B269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incadr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ro-RO"/>
        </w:rPr>
        <w:t>ză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capitol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afec</w:t>
      </w:r>
      <w:r w:rsidR="006B269A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iunile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B269A">
        <w:rPr>
          <w:rFonts w:ascii="Times New Roman" w:hAnsi="Times New Roman" w:cs="Times New Roman"/>
          <w:sz w:val="24"/>
          <w:szCs w:val="24"/>
          <w:lang w:val="en-US"/>
        </w:rPr>
        <w:t xml:space="preserve">n care, </w:t>
      </w:r>
      <w:proofErr w:type="spellStart"/>
      <w:r w:rsidR="006B269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9A">
        <w:rPr>
          <w:rFonts w:ascii="Times New Roman" w:hAnsi="Times New Roman" w:cs="Times New Roman"/>
          <w:sz w:val="24"/>
          <w:szCs w:val="24"/>
          <w:lang w:val="en-US"/>
        </w:rPr>
        <w:t>lâ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hipertrofia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B269A">
        <w:rPr>
          <w:rFonts w:ascii="Times New Roman" w:hAnsi="Times New Roman" w:cs="Times New Roman"/>
          <w:sz w:val="24"/>
          <w:szCs w:val="24"/>
          <w:lang w:val="en-US"/>
        </w:rPr>
        <w:t>rofia</w:t>
      </w:r>
      <w:proofErr w:type="spellEnd"/>
      <w:r w:rsid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9A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9A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269A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9A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6B269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derea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marcat</w:t>
      </w:r>
      <w:r w:rsidR="006B269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269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6B269A">
        <w:rPr>
          <w:rFonts w:ascii="Times New Roman" w:hAnsi="Times New Roman" w:cs="Times New Roman"/>
          <w:sz w:val="24"/>
          <w:szCs w:val="24"/>
          <w:lang w:val="en-US"/>
        </w:rPr>
        <w:t>secreț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(s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ialoadenoze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alterarea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parenchimului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glandular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Sinonime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6B2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1963" w:rsidRPr="006B269A" w:rsidRDefault="000751EF" w:rsidP="006B269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Sialadenoza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1963" w:rsidRPr="006B269A" w:rsidRDefault="000751EF" w:rsidP="006B269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Hipertrofie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benigna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lang w:val="en-US"/>
        </w:rPr>
        <w:t xml:space="preserve">                                   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Etiopatogenie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Exista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numerosi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implicati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etiopatogenie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ză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situatiile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smartTag w:uri="urn:schemas:contacts" w:element="Sn">
        <w:r w:rsidRPr="006B269A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modificare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inervatiei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autonome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Sindroamele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sialozice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apar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varsta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40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face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presupuna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ales la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femei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ca la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originea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afectiuni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stau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modificari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metabolismului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endocrine in special, care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apar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varsta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Cauze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D1963" w:rsidRPr="006B269A" w:rsidRDefault="000751EF" w:rsidP="006B26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cauze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de alimentaţie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malnutri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anorexia,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deficitul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vitamine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, bulimia</w:t>
      </w:r>
    </w:p>
    <w:p w:rsidR="00BD1963" w:rsidRPr="006B269A" w:rsidRDefault="000751EF" w:rsidP="006B26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cauze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endocrine: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diabetul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zaharat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hipotiroidismul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acromegalia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lactatia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D1963" w:rsidRPr="006B269A" w:rsidRDefault="000751EF" w:rsidP="006B26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cauze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metabolice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obezitatea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ciroza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malabsorbtia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1963" w:rsidRPr="006B269A" w:rsidRDefault="000751EF" w:rsidP="006B26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cauze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medicamentoase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antihipertensivele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simpatomimetice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izoprenalina,fenilbutazona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451B9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cauze</w:t>
      </w:r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inflamatorii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autoimune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1963" w:rsidRPr="006B269A" w:rsidRDefault="000751EF" w:rsidP="006B269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b/>
          <w:sz w:val="24"/>
          <w:szCs w:val="24"/>
          <w:lang w:val="en-US"/>
        </w:rPr>
        <w:t>Histopatologie</w:t>
      </w:r>
      <w:proofErr w:type="spellEnd"/>
      <w:r w:rsidRPr="006B2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caracterizeaza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hipertrofia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celulelor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acinare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atrofia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ducturilor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striate,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asociata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edem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tesutului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conjunctiv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interstitial.</w:t>
      </w:r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Deci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are loc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alterarea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parenchimului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glandular, cu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marirea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în</w:t>
      </w:r>
    </w:p>
    <w:p w:rsid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Volum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a ţesutului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atrofia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insotita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tulburari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secretiei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fenomene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clinice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diferen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iaz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evoluţia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diferitel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sindroame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1963" w:rsidRPr="006B269A" w:rsidRDefault="000751EF" w:rsidP="006B269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frecvent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afectate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1.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parotidele</w:t>
      </w:r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2.  </w:t>
      </w: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glandele</w:t>
      </w:r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submandibulare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3. 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sublingualele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excep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269A" w:rsidRPr="006B269A" w:rsidRDefault="006B269A" w:rsidP="006B2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b/>
          <w:sz w:val="24"/>
          <w:szCs w:val="24"/>
          <w:lang w:val="en-US"/>
        </w:rPr>
        <w:t>Clinica</w:t>
      </w:r>
      <w:proofErr w:type="spellEnd"/>
    </w:p>
    <w:p w:rsidR="00BD1963" w:rsidRPr="006B269A" w:rsidRDefault="000751EF" w:rsidP="006B269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Simptomul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clinic important,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sialozelor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smartTag w:uri="urn:schemas:contacts" w:element="Sn">
        <w:r w:rsidRPr="006B269A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scaderea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secretiilor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mearga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asialie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6B269A" w:rsidRDefault="000751EF" w:rsidP="006B269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</w:rPr>
        <w:t>Subiectiv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senzatia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uscaciune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bucal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</w:rPr>
        <w:t>,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dificultati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fona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mastica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degluti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- bolnavii au nevoia să-și umezească în permanență gura cu apă. </w:t>
      </w:r>
    </w:p>
    <w:p w:rsidR="00BD1963" w:rsidRPr="006B269A" w:rsidRDefault="000751EF" w:rsidP="006B269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</w:rPr>
        <w:t>Semnele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</w:rPr>
        <w:t>obiective</w:t>
      </w:r>
      <w:proofErr w:type="spellEnd"/>
      <w:proofErr w:type="gramStart"/>
      <w:r w:rsidRPr="006B269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6B2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      -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uscarea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mucoasei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bucale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rosie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stralucitoare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 -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acoperita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saliva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putina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albicioasa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cu aspect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mucoid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 - l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imba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neteda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depapilat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ă,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 - r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agadele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pericomisurale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constante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 - l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presiune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glandele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parotide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</w:t>
      </w: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submandibulare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constata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saliva</w:t>
      </w:r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de aspect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mucoid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, î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cazurile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suprainfectare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saliva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aspect purulent.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 - s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aliva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are pH acid, care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favorizeaza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aparitia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candidozelor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prezente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269A" w:rsidRPr="006B269A" w:rsidRDefault="006B269A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mucoasei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bucale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ș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linguale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leukokeratozelor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roase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B269A" w:rsidRDefault="006B269A" w:rsidP="006B269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Din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grupul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mare ale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sialozelor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fac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parte c</w:t>
      </w:r>
      <w:r w:rsidRPr="006B269A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teva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afec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proofErr w:type="spellStart"/>
      <w:proofErr w:type="gram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iuni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cu</w:t>
      </w:r>
      <w:proofErr w:type="gram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simptomatologie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clinica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specific</w:t>
      </w:r>
      <w:r w:rsidRPr="006B269A">
        <w:rPr>
          <w:rFonts w:ascii="Times New Roman" w:hAnsi="Times New Roman" w:cs="Times New Roman"/>
          <w:b/>
          <w:bCs/>
          <w:sz w:val="24"/>
          <w:szCs w:val="24"/>
          <w:lang w:val="ro-RO"/>
        </w:rPr>
        <w:t>ă:</w:t>
      </w:r>
      <w:r w:rsidRPr="006B2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BD1963" w:rsidRPr="006B269A" w:rsidRDefault="000751EF" w:rsidP="006B26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Gougerot-Sjogren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1963" w:rsidRPr="006B269A" w:rsidRDefault="000751EF" w:rsidP="006B26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Mickulitz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>,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6B269A" w:rsidRDefault="000751EF" w:rsidP="006B26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Besnier-Boeck-Schaumann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BD1963" w:rsidRPr="006B269A" w:rsidRDefault="000751EF" w:rsidP="006B26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</w:rPr>
        <w:t>leziunea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limfoepiteliala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benigna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69A" w:rsidRPr="006B269A" w:rsidRDefault="006B269A" w:rsidP="006B269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b/>
          <w:sz w:val="24"/>
          <w:szCs w:val="24"/>
        </w:rPr>
        <w:t>sindromul</w:t>
      </w:r>
      <w:proofErr w:type="spellEnd"/>
      <w:r w:rsidRPr="006B2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b/>
          <w:sz w:val="24"/>
          <w:szCs w:val="24"/>
        </w:rPr>
        <w:t>Gougerot-Sjogren</w:t>
      </w:r>
      <w:proofErr w:type="spellEnd"/>
      <w:r w:rsidRPr="006B269A">
        <w:rPr>
          <w:rFonts w:ascii="Times New Roman" w:hAnsi="Times New Roman" w:cs="Times New Roman"/>
          <w:b/>
          <w:sz w:val="24"/>
          <w:szCs w:val="24"/>
        </w:rPr>
        <w:t>,</w:t>
      </w:r>
    </w:p>
    <w:p w:rsidR="006B269A" w:rsidRPr="006B269A" w:rsidRDefault="006B269A" w:rsidP="006B2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269A" w:rsidRDefault="006B269A" w:rsidP="006B269A">
      <w:pPr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tripl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simptomatologie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buco-faringiene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, ocular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ș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B269A" w:rsidRPr="006B269A" w:rsidRDefault="006B269A" w:rsidP="006B26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frecvent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femei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varsta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40-45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Clinic,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debuta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manifest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parotidiene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oculare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articulare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de tip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reumatismal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(poliartrită)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B269A" w:rsidRDefault="006B269A" w:rsidP="006B269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269A">
        <w:rPr>
          <w:rFonts w:ascii="Times New Roman" w:hAnsi="Times New Roman" w:cs="Times New Roman"/>
          <w:b/>
          <w:bCs/>
          <w:sz w:val="24"/>
          <w:szCs w:val="24"/>
        </w:rPr>
        <w:t xml:space="preserve">1.Manifestarile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</w:rPr>
        <w:t>bucofaringiene</w:t>
      </w:r>
      <w:proofErr w:type="spellEnd"/>
    </w:p>
    <w:p w:rsidR="00BD1963" w:rsidRPr="006B269A" w:rsidRDefault="000751EF" w:rsidP="00987404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Parotiditele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inceput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voluminoase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7404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presiune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87404">
        <w:rPr>
          <w:rFonts w:ascii="Times New Roman" w:hAnsi="Times New Roman" w:cs="Times New Roman"/>
          <w:sz w:val="24"/>
          <w:szCs w:val="24"/>
          <w:lang w:val="en-US"/>
        </w:rPr>
        <w:t>elimine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canal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saliv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cu aspect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mucoid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. Ulterior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parotidele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suferi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indurare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atrofie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menaiputand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percepute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palpare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stadiu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papila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canalului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Stenon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devine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imperceptibila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scurge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saliv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B269A" w:rsidRDefault="006B269A" w:rsidP="006B269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269A">
        <w:rPr>
          <w:rFonts w:ascii="Times New Roman" w:hAnsi="Times New Roman" w:cs="Times New Roman"/>
          <w:b/>
          <w:bCs/>
          <w:sz w:val="24"/>
          <w:szCs w:val="24"/>
        </w:rPr>
        <w:t xml:space="preserve">2.Manifestari </w:t>
      </w:r>
      <w:proofErr w:type="spellStart"/>
      <w:r w:rsidRPr="006B269A">
        <w:rPr>
          <w:rFonts w:ascii="Times New Roman" w:hAnsi="Times New Roman" w:cs="Times New Roman"/>
          <w:b/>
          <w:bCs/>
          <w:sz w:val="24"/>
          <w:szCs w:val="24"/>
        </w:rPr>
        <w:t>oculare</w:t>
      </w:r>
      <w:proofErr w:type="spellEnd"/>
      <w:r w:rsidRPr="006B26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1963" w:rsidRPr="006B269A" w:rsidRDefault="000751EF" w:rsidP="006B269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9A">
        <w:rPr>
          <w:rFonts w:ascii="Times New Roman" w:hAnsi="Times New Roman" w:cs="Times New Roman"/>
          <w:sz w:val="24"/>
          <w:szCs w:val="24"/>
          <w:lang w:val="ro-RO"/>
        </w:rPr>
        <w:t>K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eratoconjunctivita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uscata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63" w:rsidRPr="006B269A" w:rsidRDefault="000751EF" w:rsidP="006B269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senzatia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arsura</w:t>
      </w:r>
      <w:proofErr w:type="spellEnd"/>
      <w:r w:rsidRPr="006B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</w:rPr>
        <w:t>oculara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6B269A" w:rsidRDefault="000751EF" w:rsidP="006B269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corpi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straini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intraoculari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fotofobie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6B269A" w:rsidRDefault="000751EF" w:rsidP="006B269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Conjunctivele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rosii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uscate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, mate, cu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foarte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putina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secretie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lacrimala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6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6B269A" w:rsidRDefault="000751EF" w:rsidP="006B269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Bolnavii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clipesc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des,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suplini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deficitul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secre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lacrimal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BD1963" w:rsidRPr="006B269A" w:rsidRDefault="000751EF" w:rsidP="006B269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cazuri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grave pot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aparea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corneene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sub forma de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keratit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69A">
        <w:rPr>
          <w:rFonts w:ascii="Times New Roman" w:hAnsi="Times New Roman" w:cs="Times New Roman"/>
          <w:sz w:val="24"/>
          <w:szCs w:val="24"/>
          <w:lang w:val="en-US"/>
        </w:rPr>
        <w:t>filamentoas</w:t>
      </w:r>
      <w:proofErr w:type="spellEnd"/>
      <w:r w:rsidRPr="006B26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B26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B269A" w:rsidRDefault="00987404" w:rsidP="006B269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7404">
        <w:rPr>
          <w:rFonts w:ascii="Times New Roman" w:hAnsi="Times New Roman" w:cs="Times New Roman"/>
          <w:b/>
          <w:sz w:val="24"/>
          <w:szCs w:val="24"/>
        </w:rPr>
        <w:t>3</w:t>
      </w:r>
      <w:r w:rsidRPr="00987404">
        <w:rPr>
          <w:rFonts w:ascii="Times New Roman" w:hAnsi="Times New Roman" w:cs="Times New Roman"/>
          <w:sz w:val="24"/>
          <w:szCs w:val="24"/>
        </w:rPr>
        <w:t>.</w:t>
      </w:r>
      <w:r w:rsidRPr="00987404">
        <w:rPr>
          <w:rFonts w:ascii="Times New Roman" w:hAnsi="Times New Roman" w:cs="Times New Roman"/>
          <w:b/>
          <w:sz w:val="24"/>
          <w:szCs w:val="24"/>
        </w:rPr>
        <w:t xml:space="preserve">Manifestarile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articulare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</w:rPr>
        <w:t>:</w:t>
      </w:r>
    </w:p>
    <w:p w:rsidR="00BD1963" w:rsidRPr="00987404" w:rsidRDefault="000751EF" w:rsidP="00987404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Apar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inceput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sub forma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artralgii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articula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membrelor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evolueaza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puseuri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asemenea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reumatismului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poliarticular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act. Ulterior,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apar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artrite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subacute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articulatii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lor </w:t>
      </w:r>
      <w:proofErr w:type="gramStart"/>
      <w:smartTag w:uri="urn:schemas:contacts" w:element="GivenName">
        <w:r w:rsidRPr="00987404">
          <w:rPr>
            <w:rFonts w:ascii="Times New Roman" w:hAnsi="Times New Roman" w:cs="Times New Roman"/>
            <w:sz w:val="24"/>
            <w:szCs w:val="24"/>
            <w:lang w:val="ro-RO"/>
          </w:rPr>
          <w:t>mari</w:t>
        </w:r>
      </w:smartTag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n final,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tabloul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poliartrite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cronice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deformate.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7404" w:rsidRDefault="00987404" w:rsidP="006B269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7404">
        <w:rPr>
          <w:rFonts w:ascii="Times New Roman" w:hAnsi="Times New Roman" w:cs="Times New Roman"/>
          <w:b/>
          <w:sz w:val="24"/>
          <w:szCs w:val="24"/>
        </w:rPr>
        <w:t xml:space="preserve">4.Manifestari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asociate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</w:rPr>
        <w:t>:</w:t>
      </w:r>
    </w:p>
    <w:p w:rsidR="00BD1963" w:rsidRPr="00987404" w:rsidRDefault="000751EF" w:rsidP="0098740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remarca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uscaciunea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mucoasei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nazale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anosmie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perfora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septului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obstruc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trompei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:contacts" w:element="Sn"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>Eustachio</w:t>
        </w:r>
      </w:smartTag>
      <w:r w:rsidRPr="009874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aringotraheolaringita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7404" w:rsidRDefault="00987404" w:rsidP="006B269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7404">
        <w:rPr>
          <w:rFonts w:ascii="Times New Roman" w:hAnsi="Times New Roman" w:cs="Times New Roman"/>
          <w:b/>
          <w:sz w:val="24"/>
          <w:szCs w:val="24"/>
          <w:lang w:val="ro-RO"/>
        </w:rPr>
        <w:t>Diagnosticul.</w:t>
      </w:r>
    </w:p>
    <w:p w:rsidR="00BD1963" w:rsidRDefault="000751EF" w:rsidP="00987404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Sialografia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modific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aspectul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evolu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: la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nceput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apar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zone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opacifiere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punctate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miliare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"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contur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neregulat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monoliform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(zone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dilatari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neregula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te </w:t>
      </w:r>
      <w:proofErr w:type="gramStart"/>
      <w:r w:rsidRPr="0098740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canalului</w:t>
      </w:r>
      <w:proofErr w:type="spellEnd"/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Stenon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). Ulterior,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sialografia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arat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injectarea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redus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parenchimului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glandular,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canalele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sub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ate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nu 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injecteaza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pierde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aspectul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lobular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caracteristic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imaginea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smartTag w:uri="urn:schemas:contacts" w:element="Sn"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proofErr w:type="spellEnd"/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"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arbore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mort".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Io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dol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ipolul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canalul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Stenon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pare ca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depaseste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limitele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difuzand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n afar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Uneori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cazuri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suprainfectare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aparea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imagini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"in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picatura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bine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delimitate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evidentiind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dilatatie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chistica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acinilor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glandulari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7404" w:rsidRPr="00987404" w:rsidRDefault="00987404" w:rsidP="0098740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b/>
          <w:sz w:val="24"/>
          <w:szCs w:val="24"/>
          <w:lang w:val="ro-RO"/>
        </w:rPr>
        <w:t>Sialografia parotidei</w:t>
      </w:r>
    </w:p>
    <w:p w:rsidR="00987404" w:rsidRDefault="00987404" w:rsidP="006B26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216525" cy="2380437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238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04" w:rsidRDefault="00987404" w:rsidP="006B269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Examenele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laborator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BD1963" w:rsidRPr="00987404" w:rsidRDefault="00987404" w:rsidP="0098740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proofErr w:type="gram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evidentiaza</w:t>
      </w:r>
      <w:proofErr w:type="spellEnd"/>
      <w:proofErr w:type="gram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anemie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moderata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eozinofilie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cresterea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vitezei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sedimentare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1EF"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globulinelor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plasmatice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inversarea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raportului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serine/</w:t>
      </w:r>
      <w:proofErr w:type="spellStart"/>
      <w:r w:rsidR="000751EF" w:rsidRPr="00987404">
        <w:rPr>
          <w:rFonts w:ascii="Times New Roman" w:hAnsi="Times New Roman" w:cs="Times New Roman"/>
          <w:sz w:val="24"/>
          <w:szCs w:val="24"/>
          <w:lang w:val="en-US"/>
        </w:rPr>
        <w:t>globuline</w:t>
      </w:r>
      <w:proofErr w:type="spellEnd"/>
      <w:r w:rsidR="000751EF" w:rsidRPr="0098740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D1963" w:rsidRPr="00987404" w:rsidRDefault="000751EF" w:rsidP="0098740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amenele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imunologice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evidentiaza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existen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anticorpi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nespecifici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organ (factor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reumatoi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); 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anticorpilor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anticanale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antiglande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lacrimale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, anti-ARN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D1963" w:rsidRPr="00987404" w:rsidRDefault="000751EF" w:rsidP="0098740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saliv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gasesc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imunoglobuline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munoglobuline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b/>
          <w:sz w:val="24"/>
          <w:szCs w:val="24"/>
          <w:lang w:val="en-US"/>
        </w:rPr>
        <w:t>Anatomie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  <w:lang w:val="en-US"/>
        </w:rPr>
        <w:t>patologica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observ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ă: </w:t>
      </w:r>
    </w:p>
    <w:p w:rsidR="00BD1963" w:rsidRPr="00987404" w:rsidRDefault="000751EF" w:rsidP="0098740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metaplazii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malpighiene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canalelor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excretie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ac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inii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diferentiati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tinz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formeze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insule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celule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mioepiteliale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D1963" w:rsidRPr="00987404" w:rsidRDefault="000751EF" w:rsidP="0098740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d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ilata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canaliculare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intra-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pericanaliculare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modific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permeabilitatea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fapt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explica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imaginea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sialografica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difuziune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lipiodolului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87404" w:rsidRDefault="00987404" w:rsidP="009874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jurul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acinilor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canalelor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observ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infiltrat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inflamator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m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focitar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scleroz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404" w:rsidRDefault="00987404" w:rsidP="009874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Tratamentul</w:t>
      </w:r>
      <w:proofErr w:type="spellEnd"/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smartTag w:uri="urn:schemas:contacts" w:element="Sn"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proofErr w:type="spellEnd"/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simptomatic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putin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patogenic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D1963" w:rsidRPr="00987404" w:rsidRDefault="000751EF" w:rsidP="0098740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uscaciunea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conjunctivelor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lacrimi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artificiale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P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entru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ameliora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rea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uscaciun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mucoasei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bucale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saliva artificial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1963" w:rsidRPr="00987404" w:rsidRDefault="000751EF" w:rsidP="0098740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V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itaminoterapie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masiva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(A, B, C, PP)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fier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Predni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ro-RO"/>
        </w:rPr>
        <w:t>lo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nul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30 mg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marindu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treptat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doza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munosupresoare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Azathioprinei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Ciclofosfamidei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Clorambucilul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al D-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penicilaminei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D1963" w:rsidRPr="00987404" w:rsidRDefault="000751EF" w:rsidP="0098740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munodepresoare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infiltratul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limfocitar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,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sub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supravegherea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medicală 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ă. </w:t>
      </w:r>
    </w:p>
    <w:p w:rsidR="00BD1963" w:rsidRPr="000F6A77" w:rsidRDefault="000751EF" w:rsidP="000F6A7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nstila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endocanaliculare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hidrocortizon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stadiile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6-8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instila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endocanaliculare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hidrocortizon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la care 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adaug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penicilina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F6A77" w:rsidRPr="00987404" w:rsidRDefault="000F6A77" w:rsidP="000F6A77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87404" w:rsidRPr="00987404" w:rsidRDefault="00987404" w:rsidP="000F6A77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b/>
          <w:sz w:val="24"/>
          <w:szCs w:val="24"/>
          <w:lang w:val="ro-RO"/>
        </w:rPr>
        <w:t>Tratamentul chirurgical</w:t>
      </w:r>
    </w:p>
    <w:p w:rsidR="00987404" w:rsidRPr="00987404" w:rsidRDefault="00987404" w:rsidP="000F6A77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formelor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hipertrofie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parotidiana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marcat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tip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pseudotumoral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practica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parotidectomia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subtotal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conservarea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nervului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facial.</w:t>
      </w:r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6A77" w:rsidRDefault="000F6A77" w:rsidP="0098740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7404" w:rsidRDefault="00987404" w:rsidP="009874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Boala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Mickulicz</w:t>
      </w:r>
      <w:proofErr w:type="spellEnd"/>
    </w:p>
    <w:p w:rsidR="00BD1963" w:rsidRPr="00987404" w:rsidRDefault="000751EF" w:rsidP="0098740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smartTag w:uri="urn:schemas:contacts" w:element="Sn"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afectiune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rara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evolutie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benigna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are 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manifesta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hipertrofia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simetrica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lacrimale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insotita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scaderea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disparitie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secretiei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D1963" w:rsidRPr="00987404" w:rsidRDefault="000751EF" w:rsidP="0098740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Afecteaz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rstnici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atat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femei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barbati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Subiectiv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bolnavii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acuza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senzatia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uscaciune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cavitatii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bucale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senzatia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corpi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straini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conjunctivei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bulbare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datorita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uscaciunii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corneei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en-US"/>
        </w:rPr>
        <w:t>Dup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perioad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crestere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progresiv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glandele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ram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intr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stadiu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constant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hipertrofiat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modifice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volumul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continuare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D1963" w:rsidRPr="00987404" w:rsidRDefault="000751EF" w:rsidP="0098740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>Afectar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ea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concomitent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parotide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submandibulare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, sublingual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lacrimale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bilteralitatea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afectiunii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permit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punerea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diagnosticului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formele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evolu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tipic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smartTag w:uri="urn:schemas-microsoft-com:office:smarttags" w:element="PersonName">
        <w:smartTag w:uri="urn:schemas:contacts" w:element="GivenName">
          <w:r w:rsidRPr="00987404">
            <w:rPr>
              <w:rFonts w:ascii="Times New Roman" w:hAnsi="Times New Roman" w:cs="Times New Roman"/>
              <w:sz w:val="24"/>
              <w:szCs w:val="24"/>
              <w:lang w:val="en-US"/>
            </w:rPr>
            <w:t>Boala</w:t>
          </w:r>
        </w:smartTag>
        <w:proofErr w:type="spellEnd"/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987404">
            <w:rPr>
              <w:rFonts w:ascii="Times New Roman" w:hAnsi="Times New Roman" w:cs="Times New Roman"/>
              <w:sz w:val="24"/>
              <w:szCs w:val="24"/>
              <w:lang w:val="en-US"/>
            </w:rPr>
            <w:t>Mickulicz</w:t>
          </w:r>
        </w:smartTag>
      </w:smartTag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diferentiata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sindromul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Mickulicz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hipertrofia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lacrimale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asociata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adenopatia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cervicala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Desi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debutul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clinic </w:t>
      </w:r>
      <w:proofErr w:type="spellStart"/>
      <w:proofErr w:type="gramStart"/>
      <w:smartTag w:uri="urn:schemas:contacts" w:element="Sn"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proofErr w:type="spellEnd"/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asemanator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evolu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smartTag w:uri="urn:schemas:contacts" w:element="Sn"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rapid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malign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anatomopatologic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aspectul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limfom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malign,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limfosarcom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reticulolimfosarcom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obtin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predni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zolon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n doze moderate,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administrat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perioade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lungi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7404" w:rsidRDefault="00987404" w:rsidP="009874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Boala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Besnier-Boeck-Scaumanann</w:t>
      </w:r>
      <w:proofErr w:type="spellEnd"/>
    </w:p>
    <w:p w:rsidR="00BD1963" w:rsidRPr="00987404" w:rsidRDefault="000751EF" w:rsidP="009874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smartTag w:uri="urn:schemas:contacts" w:element="Sn"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consid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era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afec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iune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reticuloendotelia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simptomatologie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polimorf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98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</w:rPr>
        <w:t>caracterizeaza</w:t>
      </w:r>
      <w:proofErr w:type="spellEnd"/>
      <w:r w:rsidRPr="0098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Start"/>
      <w:r w:rsidRPr="00987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     -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cutanate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nodulare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sarcoidele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BoecK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     -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mucoasei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valului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amigdalelor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faringelui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sub forma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proofErr w:type="gram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noduli</w:t>
      </w:r>
      <w:proofErr w:type="spellEnd"/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alb-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galbui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lizereu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u,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disemina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grupuri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     -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osoase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ganglionare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pulmonare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Tumefierea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parotide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ș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submandibulare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reprezint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semn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esen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afec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iuni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smartTag w:uri="urn:schemas-microsoft-com:office:smarttags" w:element="PersonName">
        <w:smartTag w:uri="urn:schemas:contacts" w:element="GivenName">
          <w:r w:rsidRPr="00987404">
            <w:rPr>
              <w:rFonts w:ascii="Times New Roman" w:hAnsi="Times New Roman" w:cs="Times New Roman"/>
              <w:sz w:val="24"/>
              <w:szCs w:val="24"/>
              <w:lang w:val="en-US"/>
            </w:rPr>
            <w:t>Tumefierea</w:t>
          </w:r>
        </w:smartTag>
        <w:proofErr w:type="spellEnd"/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proofErr w:type="gramStart"/>
        <w:smartTag w:uri="urn:schemas:contacts" w:element="Sn">
          <w:r w:rsidRPr="00987404">
            <w:rPr>
              <w:rFonts w:ascii="Times New Roman" w:hAnsi="Times New Roman" w:cs="Times New Roman"/>
              <w:sz w:val="24"/>
              <w:szCs w:val="24"/>
              <w:lang w:val="en-US"/>
            </w:rPr>
            <w:t>este</w:t>
          </w:r>
        </w:smartTag>
      </w:smartTag>
      <w:proofErr w:type="spellEnd"/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bilateral</w:t>
      </w:r>
      <w:r w:rsidR="00987404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7404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nedureroas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nu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supureaz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niciodat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1963" w:rsidRPr="00987404" w:rsidRDefault="000751EF" w:rsidP="009874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</w:rPr>
        <w:t>Secretia</w:t>
      </w:r>
      <w:proofErr w:type="spellEnd"/>
      <w:r w:rsidRPr="0098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8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ă.</w:t>
      </w:r>
    </w:p>
    <w:p w:rsidR="00BD1963" w:rsidRPr="00987404" w:rsidRDefault="000751EF" w:rsidP="009874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Interesarea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salivar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smartTag w:uri="urn:schemas:contacts" w:element="Sn"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proofErr w:type="spellEnd"/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obicei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asociata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celelalte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leziuni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ş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unic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preceda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apari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localizari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D1963" w:rsidRPr="00987404" w:rsidRDefault="000751EF" w:rsidP="009874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Diagnosticul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certitudine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pus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biopsie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7404" w:rsidRDefault="00987404" w:rsidP="009874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Leziunea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limfoepiteliala</w:t>
      </w:r>
      <w:proofErr w:type="spellEnd"/>
      <w:r w:rsidRPr="009874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404">
        <w:rPr>
          <w:rFonts w:ascii="Times New Roman" w:hAnsi="Times New Roman" w:cs="Times New Roman"/>
          <w:b/>
          <w:sz w:val="24"/>
          <w:szCs w:val="24"/>
        </w:rPr>
        <w:t>benigna</w:t>
      </w:r>
      <w:proofErr w:type="spellEnd"/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smartTag w:uri="urn:schemas:contacts" w:element="Sn"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>Este</w:t>
        </w:r>
      </w:smartTag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asemanat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autori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sindromul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Sjogren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Mickulicz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datorita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simptomatologiei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parotidomegalie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bilaterala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hiposiali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afectarea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glandelor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lacrimale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Diferentierea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facut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decat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histologic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Se p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ro-RO"/>
        </w:rPr>
        <w:t>resupune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s-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maligniza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linie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limfatica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limfom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malig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), fie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epitelial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adenocarcino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87404" w:rsidRDefault="00987404" w:rsidP="00987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74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smartTag w:uri="urn:schemas-microsoft-com:office:smarttags" w:element="PersonName">
        <w:smartTag w:uri="urn:schemas:contacts" w:element="GivenName">
          <w:r w:rsidRPr="00987404">
            <w:rPr>
              <w:rFonts w:ascii="Times New Roman" w:hAnsi="Times New Roman" w:cs="Times New Roman"/>
              <w:sz w:val="24"/>
              <w:szCs w:val="24"/>
              <w:lang w:val="en-US"/>
            </w:rPr>
            <w:t>Tratamentul</w:t>
          </w:r>
        </w:smartTag>
        <w:proofErr w:type="spellEnd"/>
        <w:r w:rsidRPr="00987404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proofErr w:type="gramStart"/>
        <w:smartTag w:uri="urn:schemas:contacts" w:element="Sn">
          <w:r w:rsidRPr="00987404">
            <w:rPr>
              <w:rFonts w:ascii="Times New Roman" w:hAnsi="Times New Roman" w:cs="Times New Roman"/>
              <w:sz w:val="24"/>
              <w:szCs w:val="24"/>
              <w:lang w:val="en-US"/>
            </w:rPr>
            <w:t>este</w:t>
          </w:r>
        </w:smartTag>
      </w:smartTag>
      <w:proofErr w:type="spellEnd"/>
      <w:proofErr w:type="gram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simptomatic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tulburarile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secretiei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salivare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recurge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parotidectomie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subtotala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formele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pseudotumorale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ocazie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cu care se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precizeaza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fapt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diagnosticul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404">
        <w:rPr>
          <w:rFonts w:ascii="Times New Roman" w:hAnsi="Times New Roman" w:cs="Times New Roman"/>
          <w:sz w:val="24"/>
          <w:szCs w:val="24"/>
          <w:lang w:val="en-US"/>
        </w:rPr>
        <w:t>histologic</w:t>
      </w:r>
      <w:proofErr w:type="spellEnd"/>
      <w:r w:rsidRPr="009874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F6A77" w:rsidRPr="00987404" w:rsidRDefault="000F6A77" w:rsidP="009874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F6A77" w:rsidRDefault="000F6A77" w:rsidP="000F6A77">
      <w:pPr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Catedra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chirurgiie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maxilo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facială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implantologie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orală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Arsenie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Guţan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’’</w:t>
      </w:r>
    </w:p>
    <w:p w:rsidR="000F6A77" w:rsidRPr="00BB589F" w:rsidRDefault="000F6A77" w:rsidP="000F6A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conf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univ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. Olga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Procoprnco</w:t>
      </w:r>
      <w:proofErr w:type="spellEnd"/>
    </w:p>
    <w:p w:rsidR="00987404" w:rsidRPr="00987404" w:rsidRDefault="00987404" w:rsidP="0098740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87404" w:rsidRPr="00987404" w:rsidSect="0074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245"/>
    <w:multiLevelType w:val="hybridMultilevel"/>
    <w:tmpl w:val="DDD61614"/>
    <w:lvl w:ilvl="0" w:tplc="7472D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4A6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22A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7C2A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366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869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63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EB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C9A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920082"/>
    <w:multiLevelType w:val="hybridMultilevel"/>
    <w:tmpl w:val="4192D578"/>
    <w:lvl w:ilvl="0" w:tplc="1D9AF4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1C9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4C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464E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4AC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0F4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BC0F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260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B04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871A8F"/>
    <w:multiLevelType w:val="hybridMultilevel"/>
    <w:tmpl w:val="527CE0CA"/>
    <w:lvl w:ilvl="0" w:tplc="4B00C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522C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182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AC6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CE8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2A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03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C2E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AC4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FD48A2"/>
    <w:multiLevelType w:val="hybridMultilevel"/>
    <w:tmpl w:val="6A7CAF6A"/>
    <w:lvl w:ilvl="0" w:tplc="2BD86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A9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44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CA3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5CFE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92F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6C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DEC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C3C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331A9C"/>
    <w:multiLevelType w:val="hybridMultilevel"/>
    <w:tmpl w:val="EF2C0A78"/>
    <w:lvl w:ilvl="0" w:tplc="EED89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E9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2E9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4ED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BA55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034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AAF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8CF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9ED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323B17"/>
    <w:multiLevelType w:val="hybridMultilevel"/>
    <w:tmpl w:val="36CC82A6"/>
    <w:lvl w:ilvl="0" w:tplc="7AB27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C4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89D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48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AC9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21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298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CE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A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3645E"/>
    <w:multiLevelType w:val="hybridMultilevel"/>
    <w:tmpl w:val="63C28CD2"/>
    <w:lvl w:ilvl="0" w:tplc="D28E4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786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C878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C9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74E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2D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E70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AA53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D6B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0949DD"/>
    <w:multiLevelType w:val="hybridMultilevel"/>
    <w:tmpl w:val="BA887220"/>
    <w:lvl w:ilvl="0" w:tplc="D8EA0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CD5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C6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20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F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CF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9E68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22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E4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F142CD7"/>
    <w:multiLevelType w:val="hybridMultilevel"/>
    <w:tmpl w:val="F1DC2FF6"/>
    <w:lvl w:ilvl="0" w:tplc="780AA0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AF9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EB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C41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786A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4CF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04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F86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26CF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432825"/>
    <w:multiLevelType w:val="hybridMultilevel"/>
    <w:tmpl w:val="ADBC955C"/>
    <w:lvl w:ilvl="0" w:tplc="9976C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C63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02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0B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057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E0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21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8EB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C6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8424C7"/>
    <w:multiLevelType w:val="hybridMultilevel"/>
    <w:tmpl w:val="4748E464"/>
    <w:lvl w:ilvl="0" w:tplc="6AD02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ACB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EA7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B23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85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D625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A88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AAA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660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37057B"/>
    <w:multiLevelType w:val="hybridMultilevel"/>
    <w:tmpl w:val="91BEA43E"/>
    <w:lvl w:ilvl="0" w:tplc="7D440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982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683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AF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EB9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86B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8C8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E0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20A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1DA2413"/>
    <w:multiLevelType w:val="hybridMultilevel"/>
    <w:tmpl w:val="4A1210D0"/>
    <w:lvl w:ilvl="0" w:tplc="7E502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0F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80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C0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2B0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E2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1D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E32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442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D0589E"/>
    <w:multiLevelType w:val="hybridMultilevel"/>
    <w:tmpl w:val="BA3AF3E0"/>
    <w:lvl w:ilvl="0" w:tplc="64B27E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AB8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A35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412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24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C2D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8AB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4BE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52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3D0CD1"/>
    <w:multiLevelType w:val="hybridMultilevel"/>
    <w:tmpl w:val="D28E3CE4"/>
    <w:lvl w:ilvl="0" w:tplc="8102A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8D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6A2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C4D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0049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682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C1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F403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86F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89F66EB"/>
    <w:multiLevelType w:val="hybridMultilevel"/>
    <w:tmpl w:val="1C345736"/>
    <w:lvl w:ilvl="0" w:tplc="18944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74E4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A7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43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3E3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85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CA3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8807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07D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B706AC4"/>
    <w:multiLevelType w:val="hybridMultilevel"/>
    <w:tmpl w:val="4DA2BCD8"/>
    <w:lvl w:ilvl="0" w:tplc="59463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0E9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C7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C0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ECC5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2B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383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6E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B49B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1DB3967"/>
    <w:multiLevelType w:val="hybridMultilevel"/>
    <w:tmpl w:val="D3D8B63A"/>
    <w:lvl w:ilvl="0" w:tplc="3DAC66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665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6B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96B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C6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8CA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F62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C2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A0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4787481"/>
    <w:multiLevelType w:val="hybridMultilevel"/>
    <w:tmpl w:val="AFF6FB78"/>
    <w:lvl w:ilvl="0" w:tplc="E59A0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8F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EB2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67B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FAD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90E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C09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AE6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FA2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15"/>
  </w:num>
  <w:num w:numId="10">
    <w:abstractNumId w:val="8"/>
  </w:num>
  <w:num w:numId="11">
    <w:abstractNumId w:val="1"/>
  </w:num>
  <w:num w:numId="12">
    <w:abstractNumId w:val="3"/>
  </w:num>
  <w:num w:numId="13">
    <w:abstractNumId w:val="16"/>
  </w:num>
  <w:num w:numId="14">
    <w:abstractNumId w:val="14"/>
  </w:num>
  <w:num w:numId="15">
    <w:abstractNumId w:val="9"/>
  </w:num>
  <w:num w:numId="16">
    <w:abstractNumId w:val="0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269A"/>
    <w:rsid w:val="000751EF"/>
    <w:rsid w:val="000F6A77"/>
    <w:rsid w:val="001804E6"/>
    <w:rsid w:val="006B269A"/>
    <w:rsid w:val="007451B9"/>
    <w:rsid w:val="00987404"/>
    <w:rsid w:val="00BD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:contacts" w:name="S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0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4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4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6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7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5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5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1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8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9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8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0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9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67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0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7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9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3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59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2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0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7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1391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dcterms:created xsi:type="dcterms:W3CDTF">2018-04-02T08:12:00Z</dcterms:created>
  <dcterms:modified xsi:type="dcterms:W3CDTF">2020-05-05T17:55:00Z</dcterms:modified>
</cp:coreProperties>
</file>