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A01" w14:textId="2D64ED7D" w:rsidR="00401637" w:rsidRPr="00E51B2D" w:rsidRDefault="00401637" w:rsidP="00401637">
      <w:pPr>
        <w:spacing w:line="276" w:lineRule="auto"/>
        <w:jc w:val="center"/>
        <w:rPr>
          <w:rFonts w:ascii="Cambria" w:hAnsi="Cambria" w:cs="Times New Roman"/>
          <w:b/>
          <w:bCs/>
          <w:caps/>
          <w:color w:val="000000" w:themeColor="text1"/>
          <w:sz w:val="28"/>
          <w:szCs w:val="28"/>
          <w:lang w:val="ro-RO"/>
        </w:rPr>
      </w:pPr>
      <w:bookmarkStart w:id="0" w:name="_Hlk125619658"/>
      <w:bookmarkStart w:id="1" w:name="_Hlk125617583"/>
      <w:r w:rsidRPr="00E51B2D">
        <w:rPr>
          <w:rFonts w:ascii="Cambria" w:hAnsi="Cambria" w:cs="Times New Roman"/>
          <w:b/>
          <w:bCs/>
          <w:caps/>
          <w:sz w:val="28"/>
          <w:szCs w:val="28"/>
          <w:lang w:val="ro-RO"/>
        </w:rPr>
        <w:t xml:space="preserve">Questions </w:t>
      </w:r>
      <w:r w:rsidRPr="00E51B2D">
        <w:rPr>
          <w:rFonts w:ascii="Cambria" w:hAnsi="Cambria" w:cs="Times New Roman"/>
          <w:b/>
          <w:bCs/>
          <w:caps/>
          <w:sz w:val="28"/>
          <w:szCs w:val="28"/>
        </w:rPr>
        <w:t xml:space="preserve">for the promotion exam </w:t>
      </w:r>
    </w:p>
    <w:bookmarkEnd w:id="0"/>
    <w:bookmarkEnd w:id="1"/>
    <w:p w14:paraId="4B947F25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Course: </w:t>
      </w:r>
      <w:r w:rsidRPr="003919C0">
        <w:rPr>
          <w:rFonts w:ascii="Cambria" w:hAnsi="Cambria" w:cs="Times New Roman"/>
          <w:b/>
          <w:sz w:val="28"/>
          <w:szCs w:val="28"/>
        </w:rPr>
        <w:t>Oncology in OMF Surgery</w:t>
      </w:r>
    </w:p>
    <w:p w14:paraId="1ADE9672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 Type: </w:t>
      </w:r>
      <w:r w:rsidRPr="003919C0">
        <w:rPr>
          <w:rFonts w:ascii="Cambria" w:hAnsi="Cambria" w:cs="Times New Roman"/>
          <w:b/>
          <w:sz w:val="28"/>
          <w:szCs w:val="28"/>
        </w:rPr>
        <w:t>Compulsory</w:t>
      </w:r>
    </w:p>
    <w:p w14:paraId="683E4B62" w14:textId="77777777" w:rsidR="0031718B" w:rsidRPr="003919C0" w:rsidRDefault="0031718B" w:rsidP="0031718B">
      <w:pPr>
        <w:rPr>
          <w:rFonts w:ascii="Cambria" w:hAnsi="Cambria" w:cs="Times New Roman"/>
          <w:sz w:val="28"/>
          <w:szCs w:val="28"/>
        </w:rPr>
      </w:pPr>
      <w:r w:rsidRPr="003919C0">
        <w:rPr>
          <w:rFonts w:ascii="Cambria" w:hAnsi="Cambria" w:cs="Times New Roman"/>
          <w:sz w:val="28"/>
          <w:szCs w:val="28"/>
        </w:rPr>
        <w:t xml:space="preserve">Course Code: </w:t>
      </w:r>
      <w:r w:rsidRPr="003919C0">
        <w:rPr>
          <w:rFonts w:ascii="Cambria" w:hAnsi="Cambria" w:cs="Times New Roman"/>
          <w:b/>
          <w:sz w:val="28"/>
          <w:szCs w:val="28"/>
        </w:rPr>
        <w:t>S.09.O.090</w:t>
      </w:r>
    </w:p>
    <w:p w14:paraId="7135D88B" w14:textId="21A74C51" w:rsidR="00401637" w:rsidRDefault="00401637" w:rsidP="0031718B">
      <w:pPr>
        <w:jc w:val="both"/>
        <w:rPr>
          <w:rFonts w:ascii="Times New Roman" w:hAnsi="Times New Roman" w:cs="Times New Roman"/>
          <w:lang w:val="ro-RO"/>
        </w:rPr>
      </w:pPr>
    </w:p>
    <w:p w14:paraId="2AD628B0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" w:name="_Hlk209078146"/>
      <w:r w:rsidRPr="00D9166C">
        <w:rPr>
          <w:rFonts w:ascii="Cambria" w:hAnsi="Cambria" w:cs="Times New Roman"/>
          <w:sz w:val="24"/>
          <w:szCs w:val="24"/>
          <w:lang w:val="ro-RO"/>
        </w:rPr>
        <w:t xml:space="preserve">International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anatomical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histological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criteria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</w:t>
      </w:r>
      <w:bookmarkEnd w:id="2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74E3AAB2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" w:name="_Hlk209078849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benign tumors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bookmarkEnd w:id="3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D1868CC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0C7936F3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" w:name="_Hlk209078777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between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benign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</w:t>
      </w:r>
      <w:bookmarkEnd w:id="4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2A277C45" w14:textId="73409880" w:rsidR="0031718B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" w:name="_Hlk209078917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Paraclinical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diagnostic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cytological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examination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types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techniques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interpretation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results</w:t>
      </w:r>
      <w:bookmarkEnd w:id="5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4C6B21BF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6" w:name="_Hlk209078969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Etiology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pathogenesis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jawbone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bookmarkEnd w:id="6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44FA85A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7" w:name="_Hlk209079326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(WHO)</w:t>
      </w:r>
      <w:bookmarkEnd w:id="7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9E6861A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8" w:name="_Hlk209079372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Developmental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general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overview</w:t>
      </w:r>
      <w:bookmarkEnd w:id="8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7BB367E3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9" w:name="_Hlk20907941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keratocyst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9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2CA56481" w14:textId="102762CF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0" w:name="_Hlk20907976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Follicular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dentigerous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)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0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00D7836" w14:textId="52065FDD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1" w:name="_Hlk209079970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Orthokeratinized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1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7FC9972A" w14:textId="599871C2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2" w:name="_Hlk209080024"/>
      <w:r w:rsidRPr="00D9166C">
        <w:rPr>
          <w:rFonts w:ascii="Cambria" w:hAnsi="Cambria" w:cs="Times New Roman"/>
          <w:sz w:val="24"/>
          <w:szCs w:val="24"/>
          <w:lang w:val="ro-RO"/>
        </w:rPr>
        <w:t xml:space="preserve">Lateral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periodontal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botryoid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2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73B92782" w14:textId="65F224AA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3" w:name="_Hlk209080380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Calcifying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</w:p>
    <w:p w14:paraId="212D8CCE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4" w:name="_Hlk209080454"/>
      <w:bookmarkEnd w:id="13"/>
      <w:r w:rsidRPr="00D9166C">
        <w:rPr>
          <w:rFonts w:ascii="Cambria" w:hAnsi="Cambria" w:cs="Times New Roman"/>
          <w:sz w:val="24"/>
          <w:szCs w:val="24"/>
          <w:lang w:val="ro-RO"/>
        </w:rPr>
        <w:t xml:space="preserve">Glandular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4"/>
      <w:proofErr w:type="spellEnd"/>
    </w:p>
    <w:p w14:paraId="6B7F87EF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5" w:name="_Hlk209080865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Inflammatory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general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overview</w:t>
      </w:r>
      <w:bookmarkEnd w:id="15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</w:p>
    <w:p w14:paraId="168ED882" w14:textId="3A2C2730" w:rsidR="00E4683E" w:rsidRPr="00D9166C" w:rsidRDefault="008471B0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6" w:name="_Hlk209080942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</w:t>
      </w:r>
      <w:r w:rsidR="00E4683E" w:rsidRPr="00D9166C">
        <w:rPr>
          <w:rFonts w:ascii="Cambria" w:hAnsi="Cambria" w:cs="Times New Roman"/>
          <w:sz w:val="24"/>
          <w:szCs w:val="24"/>
          <w:lang w:val="ro-RO"/>
        </w:rPr>
        <w:t>esidual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6"/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19F3FFEF" w14:textId="157579E2" w:rsidR="00E4683E" w:rsidRPr="00D9166C" w:rsidRDefault="008471B0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7" w:name="_Hlk209081017"/>
      <w:r w:rsidRPr="00D9166C">
        <w:rPr>
          <w:rFonts w:ascii="Cambria" w:hAnsi="Cambria" w:cs="Times New Roman"/>
          <w:sz w:val="24"/>
          <w:szCs w:val="24"/>
          <w:lang w:val="ro-RO"/>
        </w:rPr>
        <w:t>R</w:t>
      </w:r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adicular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="00E4683E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E4683E"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17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4D5D1FEF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8" w:name="_Hlk20908146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lastRenderedPageBreak/>
        <w:t>Developmental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non-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bookmarkEnd w:id="18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 </w:t>
      </w:r>
    </w:p>
    <w:p w14:paraId="089EFAB4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19" w:name="_Hlk20908150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Nasopalatine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duct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</w:p>
    <w:p w14:paraId="1595CF8A" w14:textId="56D18AB3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0" w:name="_Hlk209081043"/>
      <w:bookmarkEnd w:id="19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Pseudocysts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idiopathic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cavity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(traumatic, simple, or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hemorrhagic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),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aneurysmal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Stafne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defect</w:t>
      </w:r>
      <w:bookmarkEnd w:id="20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3ABC4620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1" w:name="_Hlk209080887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Ranula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bookmarkEnd w:id="21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3DB0800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2" w:name="_Hlk209080971"/>
      <w:r w:rsidRPr="00D9166C">
        <w:rPr>
          <w:rFonts w:ascii="Cambria" w:hAnsi="Cambria" w:cs="Times New Roman"/>
          <w:sz w:val="24"/>
          <w:szCs w:val="24"/>
          <w:lang w:val="ro-RO"/>
        </w:rPr>
        <w:t>Congenital lateral cervical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branchial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)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bookmarkEnd w:id="22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4CEC1B0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3" w:name="_Hlk209080393"/>
      <w:r w:rsidRPr="00D9166C">
        <w:rPr>
          <w:rFonts w:ascii="Cambria" w:hAnsi="Cambria" w:cs="Times New Roman"/>
          <w:sz w:val="24"/>
          <w:szCs w:val="24"/>
          <w:lang w:val="ro-RO"/>
        </w:rPr>
        <w:t xml:space="preserve">Congenital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midline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cervical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thyroglossal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duct)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bookmarkEnd w:id="23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AE9670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4" w:name="_Hlk20907977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Dermoid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epidermoid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bookmarkEnd w:id="24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E4EB54B" w14:textId="37B8EA91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5" w:name="_Hlk209080034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for congenital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cysts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fistulas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cervicofacial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regions</w:t>
      </w:r>
      <w:proofErr w:type="spellEnd"/>
    </w:p>
    <w:p w14:paraId="41FB3137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6" w:name="_Hlk209078978"/>
      <w:bookmarkEnd w:id="25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Ameloblastoma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bookmarkEnd w:id="26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C9BDF0C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7" w:name="_Hlk20907998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Cementoma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bookmarkEnd w:id="27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4C0B8BF3" w14:textId="3FC2C653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8" w:name="_Hlk20907885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bookmarkEnd w:id="28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1BAC2FAA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29" w:name="_Hlk20907893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Jaws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osteoma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picture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bookmarkEnd w:id="29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37AD458E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0" w:name="_Hlk20907938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Osteoclastoma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giant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cell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 - GCT).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picture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0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0D52264A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1" w:name="_Hlk20907809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Chondroblastoma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picture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1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C37BE0F" w14:textId="49DEBFA6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2" w:name="_Hlk209078787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Fibrous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picture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</w:p>
    <w:p w14:paraId="4967D602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3" w:name="_Hlk209079336"/>
      <w:bookmarkEnd w:id="32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Lipoma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lipomatosis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–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Madelung’s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disease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3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2F89E385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4" w:name="_Hlk209079427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Haemangioma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4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016B2637" w14:textId="2E3F3B11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5" w:name="_Hlk209078246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lastRenderedPageBreak/>
        <w:t>Lymphangioma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5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3E1EA92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6" w:name="_Hlk209079783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Papilloma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6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CF0D41A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7" w:name="_Hlk209079991"/>
      <w:r w:rsidRPr="00D9166C">
        <w:rPr>
          <w:rFonts w:ascii="Cambria" w:hAnsi="Cambria" w:cs="Times New Roman"/>
          <w:sz w:val="24"/>
          <w:szCs w:val="24"/>
          <w:lang w:val="ro-RO"/>
        </w:rPr>
        <w:t xml:space="preserve">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papillomatosis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bookmarkEnd w:id="37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22B3ACBC" w14:textId="1844B5BA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8" w:name="_Hlk209078880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Epulis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8"/>
      <w:proofErr w:type="spellEnd"/>
    </w:p>
    <w:p w14:paraId="1EFC5C11" w14:textId="4AC9B7A5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39" w:name="_Hlk209080472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Pleomorphic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adenoma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salivary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glands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presentation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differential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</w:t>
      </w:r>
      <w:bookmarkEnd w:id="39"/>
      <w:proofErr w:type="spellEnd"/>
      <w:r w:rsidR="008471B0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4AAF7A23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0" w:name="_Hlk209080405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Carcinogenesis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cellular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changes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hyperplasia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metaplasia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dysplasia</w:t>
      </w:r>
      <w:bookmarkEnd w:id="40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).</w:t>
      </w:r>
    </w:p>
    <w:p w14:paraId="48ED6D7A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1" w:name="_Hlk20908091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Carcinogenic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risk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factors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involved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development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cancer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bookmarkEnd w:id="41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78DB637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2" w:name="_Hlk209078122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Definition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term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“oral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”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OPMDs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</w:t>
      </w:r>
      <w:bookmarkEnd w:id="42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72942E1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3" w:name="_Hlk209081475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Evolution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terminology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from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“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precancerous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”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to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OPMDs</w:t>
      </w:r>
      <w:bookmarkEnd w:id="43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39B97848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4" w:name="_Hlk209081540"/>
      <w:r w:rsidRPr="00D9166C">
        <w:rPr>
          <w:rFonts w:ascii="Cambria" w:hAnsi="Cambria" w:cs="Times New Roman"/>
          <w:sz w:val="24"/>
          <w:szCs w:val="24"/>
          <w:lang w:val="ro-RO"/>
        </w:rPr>
        <w:t xml:space="preserve">WHO 2022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OPMDs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)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epithelial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(OED</w:t>
      </w:r>
      <w:bookmarkEnd w:id="44"/>
      <w:r w:rsidRPr="00D9166C">
        <w:rPr>
          <w:rFonts w:ascii="Cambria" w:hAnsi="Cambria" w:cs="Times New Roman"/>
          <w:sz w:val="24"/>
          <w:szCs w:val="24"/>
          <w:lang w:val="ro-RO"/>
        </w:rPr>
        <w:t>).</w:t>
      </w:r>
    </w:p>
    <w:p w14:paraId="1B483E1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5" w:name="_Hlk209081189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features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leukoplakia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erythroplakia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erythroleukoplakia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oral lichen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planus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lichenoid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proliferative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verrucous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leukoplakia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submucous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fibrosis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</w:t>
      </w:r>
      <w:bookmarkEnd w:id="45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7F7F5E2" w14:textId="7C1D09E1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6" w:name="_Hlk209080986"/>
      <w:r w:rsidRPr="00D9166C">
        <w:rPr>
          <w:rFonts w:ascii="Cambria" w:hAnsi="Cambria" w:cs="Times New Roman"/>
          <w:sz w:val="24"/>
          <w:szCs w:val="24"/>
          <w:lang w:val="ro-RO"/>
        </w:rPr>
        <w:t xml:space="preserve">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epithelial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(OED):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histopathological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concepts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mild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moderate,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severe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dysplasia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/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carcinoma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situ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</w:t>
      </w:r>
    </w:p>
    <w:bookmarkEnd w:id="46"/>
    <w:p w14:paraId="3CB53DF5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management of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OPMDs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</w:t>
      </w:r>
    </w:p>
    <w:p w14:paraId="1016AD0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D9166C">
        <w:rPr>
          <w:rFonts w:ascii="Cambria" w:hAnsi="Cambria" w:cs="Times New Roman"/>
          <w:sz w:val="24"/>
          <w:szCs w:val="24"/>
          <w:lang w:val="ro-RO"/>
        </w:rPr>
        <w:t xml:space="preserve">Diagnostic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algorithm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examination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+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+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follow-up</w:t>
      </w:r>
      <w:proofErr w:type="spellEnd"/>
    </w:p>
    <w:p w14:paraId="50F8DB41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7" w:name="_Hlk209080485"/>
      <w:r w:rsidRPr="00D9166C">
        <w:rPr>
          <w:rFonts w:ascii="Cambria" w:hAnsi="Cambria" w:cs="Times New Roman"/>
          <w:sz w:val="24"/>
          <w:szCs w:val="24"/>
          <w:lang w:val="ro-RO"/>
        </w:rPr>
        <w:t>Non-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invasive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methods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for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early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detection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diagnosis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lesions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with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potential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chemiluminescence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autofluorescence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vital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staining</w:t>
      </w:r>
      <w:proofErr w:type="spellEnd"/>
    </w:p>
    <w:bookmarkEnd w:id="47"/>
    <w:p w14:paraId="76003429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D9166C">
        <w:rPr>
          <w:rFonts w:ascii="Cambria" w:hAnsi="Cambria" w:cs="Times New Roman"/>
          <w:sz w:val="24"/>
          <w:szCs w:val="24"/>
          <w:lang w:val="ro-RO"/>
        </w:rPr>
        <w:t xml:space="preserve">Monitoring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strategies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follow-up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intervals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photographic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documentation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rebiopsy</w:t>
      </w:r>
      <w:proofErr w:type="spellEnd"/>
    </w:p>
    <w:p w14:paraId="00DE0A26" w14:textId="75FAE93B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8" w:name="_Hlk209079113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Surgical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indications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adjuvant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treatments</w:t>
      </w:r>
      <w:proofErr w:type="spellEnd"/>
      <w:r w:rsidR="00546BC6" w:rsidRPr="00D9166C">
        <w:rPr>
          <w:rFonts w:ascii="Cambria" w:hAnsi="Cambria" w:cs="Times New Roman"/>
          <w:sz w:val="24"/>
          <w:szCs w:val="24"/>
          <w:lang w:val="ro-RO"/>
        </w:rPr>
        <w:t xml:space="preserve"> in oral </w:t>
      </w:r>
      <w:proofErr w:type="spellStart"/>
      <w:r w:rsidR="00546BC6" w:rsidRPr="00D9166C">
        <w:rPr>
          <w:rFonts w:ascii="Cambria" w:hAnsi="Cambria" w:cs="Times New Roman"/>
          <w:sz w:val="24"/>
          <w:szCs w:val="24"/>
          <w:lang w:val="ro-RO"/>
        </w:rPr>
        <w:t>potentially</w:t>
      </w:r>
      <w:proofErr w:type="spellEnd"/>
      <w:r w:rsidR="00546BC6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546BC6" w:rsidRPr="00D9166C">
        <w:rPr>
          <w:rFonts w:ascii="Cambria" w:hAnsi="Cambria" w:cs="Times New Roman"/>
          <w:sz w:val="24"/>
          <w:szCs w:val="24"/>
          <w:lang w:val="ro-RO"/>
        </w:rPr>
        <w:t>maliignant</w:t>
      </w:r>
      <w:proofErr w:type="spellEnd"/>
      <w:r w:rsidR="00546BC6"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="00546BC6" w:rsidRPr="00D9166C">
        <w:rPr>
          <w:rFonts w:ascii="Cambria" w:hAnsi="Cambria" w:cs="Times New Roman"/>
          <w:sz w:val="24"/>
          <w:szCs w:val="24"/>
          <w:lang w:val="ro-RO"/>
        </w:rPr>
        <w:t>disorders</w:t>
      </w:r>
      <w:bookmarkEnd w:id="48"/>
      <w:proofErr w:type="spellEnd"/>
      <w:r w:rsidR="00546BC6"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1381404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D9166C">
        <w:rPr>
          <w:rFonts w:ascii="Cambria" w:hAnsi="Cambria" w:cs="Times New Roman"/>
          <w:sz w:val="24"/>
          <w:szCs w:val="24"/>
          <w:lang w:val="ro-RO"/>
        </w:rPr>
        <w:t xml:space="preserve">Role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multidisciplinary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team: ENT specialist,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pathologist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oncologist</w:t>
      </w:r>
      <w:proofErr w:type="spellEnd"/>
    </w:p>
    <w:p w14:paraId="011102CA" w14:textId="4DE6117B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D9166C">
        <w:rPr>
          <w:rFonts w:ascii="Cambria" w:hAnsi="Cambria" w:cs="Times New Roman"/>
          <w:sz w:val="24"/>
          <w:szCs w:val="24"/>
          <w:lang w:val="ro-RO"/>
        </w:rPr>
        <w:t xml:space="preserve">The role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incisional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excisional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biopsy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techniques</w:t>
      </w:r>
      <w:proofErr w:type="spellEnd"/>
    </w:p>
    <w:p w14:paraId="32254E5F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49" w:name="_Hlk209079438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lastRenderedPageBreak/>
        <w:t>Histopathological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classification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according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to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World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Health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Organization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(WHO)</w:t>
      </w:r>
      <w:bookmarkEnd w:id="49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C3C5DD0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0" w:name="_Hlk209080049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imaging-based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staging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 (TNM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system</w:t>
      </w:r>
      <w:bookmarkEnd w:id="50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).</w:t>
      </w:r>
    </w:p>
    <w:p w14:paraId="12E7E376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1" w:name="_Hlk20907880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Clinical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manifestations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located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head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neck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bookmarkEnd w:id="51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650DD2BF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2" w:name="_Hlk209079348"/>
      <w:r w:rsidRPr="00D9166C">
        <w:rPr>
          <w:rFonts w:ascii="Cambria" w:hAnsi="Cambria" w:cs="Times New Roman"/>
          <w:sz w:val="24"/>
          <w:szCs w:val="24"/>
          <w:lang w:val="ro-RO"/>
        </w:rPr>
        <w:t xml:space="preserve">The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importance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eliminating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acute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chronic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odontogenic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infectious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foci prior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to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initiating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radiotherapy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targeting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oral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maxillofacial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region</w:t>
      </w:r>
      <w:bookmarkEnd w:id="52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E5AE205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3" w:name="_Hlk209078951"/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Therapeutic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principles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radiotherapy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chemotherapy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malignant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tumors: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elements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dosimetry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radioprotection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measures</w:t>
      </w:r>
      <w:bookmarkEnd w:id="53"/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>.</w:t>
      </w:r>
    </w:p>
    <w:p w14:paraId="5F9DC496" w14:textId="77777777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4" w:name="_Hlk209079394"/>
      <w:r w:rsidRPr="00D9166C">
        <w:rPr>
          <w:rFonts w:ascii="Cambria" w:hAnsi="Cambria" w:cs="Times New Roman"/>
          <w:sz w:val="24"/>
          <w:szCs w:val="24"/>
          <w:lang w:val="ro-RO"/>
        </w:rPr>
        <w:t xml:space="preserve">Impact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radiotherapy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maxillary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tissue</w:t>
      </w:r>
      <w:proofErr w:type="spellEnd"/>
    </w:p>
    <w:p w14:paraId="0E396D6F" w14:textId="428BA87A" w:rsidR="00E4683E" w:rsidRPr="00D9166C" w:rsidRDefault="00E4683E" w:rsidP="008471B0">
      <w:pPr>
        <w:pStyle w:val="ListParagraph"/>
        <w:numPr>
          <w:ilvl w:val="0"/>
          <w:numId w:val="8"/>
        </w:numPr>
        <w:spacing w:after="0" w:line="360" w:lineRule="auto"/>
        <w:ind w:right="-399" w:hanging="578"/>
        <w:jc w:val="both"/>
        <w:rPr>
          <w:rFonts w:ascii="Cambria" w:hAnsi="Cambria" w:cs="Times New Roman"/>
          <w:sz w:val="24"/>
          <w:szCs w:val="24"/>
          <w:lang w:val="ro-RO"/>
        </w:rPr>
      </w:pPr>
      <w:bookmarkStart w:id="55" w:name="_Hlk209078256"/>
      <w:bookmarkEnd w:id="54"/>
      <w:r w:rsidRPr="00D9166C">
        <w:rPr>
          <w:rFonts w:ascii="Cambria" w:hAnsi="Cambria" w:cs="Times New Roman"/>
          <w:sz w:val="24"/>
          <w:szCs w:val="24"/>
          <w:lang w:val="ro-RO"/>
        </w:rPr>
        <w:t xml:space="preserve">The role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bisphosphonates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etiopathogenesis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of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inflammatory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bone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complications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the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maxilla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D9166C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D9166C">
        <w:rPr>
          <w:rFonts w:ascii="Cambria" w:hAnsi="Cambria" w:cs="Times New Roman"/>
          <w:sz w:val="24"/>
          <w:szCs w:val="24"/>
          <w:lang w:val="ro-RO"/>
        </w:rPr>
        <w:t>mandible</w:t>
      </w:r>
      <w:bookmarkEnd w:id="55"/>
      <w:proofErr w:type="spellEnd"/>
    </w:p>
    <w:sectPr w:rsidR="00E4683E" w:rsidRPr="00D9166C" w:rsidSect="00DC268C">
      <w:headerReference w:type="default" r:id="rId7"/>
      <w:pgSz w:w="12240" w:h="15840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8AC8" w14:textId="77777777" w:rsidR="009A2AF2" w:rsidRDefault="009A2AF2" w:rsidP="008A4CD4">
      <w:pPr>
        <w:spacing w:after="0" w:line="240" w:lineRule="auto"/>
      </w:pPr>
      <w:r>
        <w:separator/>
      </w:r>
    </w:p>
  </w:endnote>
  <w:endnote w:type="continuationSeparator" w:id="0">
    <w:p w14:paraId="06E8F90B" w14:textId="77777777" w:rsidR="009A2AF2" w:rsidRDefault="009A2AF2" w:rsidP="008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E03B" w14:textId="77777777" w:rsidR="009A2AF2" w:rsidRDefault="009A2AF2" w:rsidP="008A4CD4">
      <w:pPr>
        <w:spacing w:after="0" w:line="240" w:lineRule="auto"/>
      </w:pPr>
      <w:r>
        <w:separator/>
      </w:r>
    </w:p>
  </w:footnote>
  <w:footnote w:type="continuationSeparator" w:id="0">
    <w:p w14:paraId="1B6D73B7" w14:textId="77777777" w:rsidR="009A2AF2" w:rsidRDefault="009A2AF2" w:rsidP="008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5"/>
      <w:gridCol w:w="7086"/>
      <w:gridCol w:w="1105"/>
      <w:gridCol w:w="1200"/>
    </w:tblGrid>
    <w:tr w:rsidR="0031718B" w14:paraId="10307E70" w14:textId="77777777" w:rsidTr="00042E69">
      <w:trPr>
        <w:cantSplit/>
        <w:trHeight w:val="451"/>
        <w:tblHeader/>
      </w:trPr>
      <w:tc>
        <w:tcPr>
          <w:tcW w:w="116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F32F" w14:textId="5D662B47" w:rsidR="0031718B" w:rsidRDefault="0031718B" w:rsidP="0031718B">
          <w:pPr>
            <w:pStyle w:val="Header"/>
            <w:spacing w:line="276" w:lineRule="auto"/>
          </w:pPr>
          <w:bookmarkStart w:id="56" w:name="_Hlk203046798"/>
          <w:r>
            <w:rPr>
              <w:noProof/>
              <w:lang w:val="ro-RO" w:eastAsia="ro-RO"/>
            </w:rPr>
            <w:drawing>
              <wp:inline distT="0" distB="0" distL="0" distR="0" wp14:anchorId="46B49C63" wp14:editId="19E058CF">
                <wp:extent cx="590550" cy="7334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02161C" w14:textId="77777777" w:rsidR="0031718B" w:rsidRDefault="0031718B" w:rsidP="0031718B">
          <w:pPr>
            <w:pStyle w:val="Title"/>
            <w:spacing w:line="276" w:lineRule="auto"/>
            <w:rPr>
              <w:i w:val="0"/>
              <w:sz w:val="26"/>
            </w:rPr>
          </w:pPr>
          <w:r>
            <w:rPr>
              <w:i w:val="0"/>
              <w:sz w:val="26"/>
            </w:rPr>
            <w:t>FACULTATEA DE STOMATOLOGIE</w:t>
          </w:r>
        </w:p>
        <w:p w14:paraId="5C170750" w14:textId="77777777" w:rsidR="0031718B" w:rsidRDefault="0031718B" w:rsidP="0031718B">
          <w:pPr>
            <w:pStyle w:val="Titolo1Intestazion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6"/>
            </w:rPr>
            <w:t>CATEDRA DE CHIRURGIE OMF ȘI IMPLANTOLOGIE ORALĂ „Arsenie GUȚAN”</w:t>
          </w:r>
        </w:p>
      </w:tc>
      <w:tc>
        <w:tcPr>
          <w:tcW w:w="110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A806B6A" w14:textId="77777777" w:rsidR="0031718B" w:rsidRDefault="0031718B" w:rsidP="0031718B">
          <w:pPr>
            <w:pStyle w:val="Revisione"/>
            <w:spacing w:line="276" w:lineRule="auto"/>
            <w:rPr>
              <w:b w:val="0"/>
              <w:sz w:val="24"/>
            </w:rPr>
          </w:pPr>
          <w:proofErr w:type="spellStart"/>
          <w:r>
            <w:rPr>
              <w:sz w:val="22"/>
              <w:szCs w:val="22"/>
              <w:lang w:val="en-US"/>
            </w:rPr>
            <w:t>Redacția</w:t>
          </w:r>
          <w:proofErr w:type="spellEnd"/>
          <w:r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9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BA5BC2B" w14:textId="2B63248D" w:rsidR="0031718B" w:rsidRDefault="0031718B" w:rsidP="0031718B">
          <w:pPr>
            <w:pStyle w:val="Revisione"/>
            <w:spacing w:line="276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0</w:t>
          </w:r>
          <w:r w:rsidR="00042E69">
            <w:rPr>
              <w:sz w:val="22"/>
              <w:szCs w:val="22"/>
            </w:rPr>
            <w:t>2</w:t>
          </w:r>
        </w:p>
      </w:tc>
    </w:tr>
    <w:tr w:rsidR="0031718B" w14:paraId="7C5B8A7E" w14:textId="77777777" w:rsidTr="00042E69">
      <w:trPr>
        <w:cantSplit/>
        <w:trHeight w:val="157"/>
        <w:tblHeader/>
      </w:trPr>
      <w:tc>
        <w:tcPr>
          <w:tcW w:w="116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F46BC" w14:textId="77777777" w:rsidR="0031718B" w:rsidRDefault="0031718B" w:rsidP="0031718B">
          <w:pPr>
            <w:spacing w:after="0"/>
            <w:rPr>
              <w:lang w:val="ru-RU"/>
            </w:rPr>
          </w:pPr>
        </w:p>
      </w:tc>
      <w:tc>
        <w:tcPr>
          <w:tcW w:w="7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96F0A" w14:textId="77777777" w:rsidR="0031718B" w:rsidRDefault="0031718B" w:rsidP="0031718B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E25BD2F" w14:textId="77777777" w:rsidR="0031718B" w:rsidRDefault="0031718B" w:rsidP="0031718B">
          <w:pPr>
            <w:pStyle w:val="Header"/>
            <w:spacing w:line="276" w:lineRule="auto"/>
            <w:rPr>
              <w:rStyle w:val="PageNumber"/>
              <w:sz w:val="16"/>
              <w:szCs w:val="16"/>
              <w:lang w:val="ro-RO"/>
            </w:rPr>
          </w:pPr>
          <w:r>
            <w:rPr>
              <w:rFonts w:ascii="Times New Roman" w:hAnsi="Times New Roman" w:cs="Times New Roman"/>
              <w:b/>
            </w:rPr>
            <w:t>Data:</w:t>
          </w: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8D772C9" w14:textId="7EBED32B" w:rsidR="0031718B" w:rsidRDefault="0031718B" w:rsidP="0031718B">
          <w:pPr>
            <w:pStyle w:val="Revisione"/>
            <w:spacing w:line="276" w:lineRule="auto"/>
            <w:rPr>
              <w:b w:val="0"/>
              <w:sz w:val="24"/>
            </w:rPr>
          </w:pPr>
          <w:r>
            <w:rPr>
              <w:sz w:val="22"/>
              <w:szCs w:val="22"/>
              <w:lang w:val="en-US"/>
            </w:rPr>
            <w:t>0</w:t>
          </w:r>
          <w:r w:rsidR="00042E69">
            <w:rPr>
              <w:sz w:val="22"/>
              <w:szCs w:val="22"/>
              <w:lang w:val="en-US"/>
            </w:rPr>
            <w:t>1</w:t>
          </w:r>
          <w:r>
            <w:rPr>
              <w:sz w:val="22"/>
              <w:szCs w:val="22"/>
              <w:lang w:val="en-US"/>
            </w:rPr>
            <w:t>.09.202</w:t>
          </w:r>
          <w:r w:rsidR="00042E69">
            <w:rPr>
              <w:sz w:val="22"/>
              <w:szCs w:val="22"/>
              <w:lang w:val="en-US"/>
            </w:rPr>
            <w:t>5</w:t>
          </w:r>
        </w:p>
      </w:tc>
    </w:tr>
    <w:tr w:rsidR="0031718B" w14:paraId="75D9FC65" w14:textId="77777777" w:rsidTr="00042E69">
      <w:trPr>
        <w:cantSplit/>
        <w:trHeight w:val="242"/>
        <w:tblHeader/>
      </w:trPr>
      <w:tc>
        <w:tcPr>
          <w:tcW w:w="116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CFF2E" w14:textId="77777777" w:rsidR="0031718B" w:rsidRDefault="0031718B" w:rsidP="0031718B">
          <w:pPr>
            <w:spacing w:after="0"/>
            <w:rPr>
              <w:lang w:val="ru-RU"/>
            </w:rPr>
          </w:pPr>
        </w:p>
      </w:tc>
      <w:tc>
        <w:tcPr>
          <w:tcW w:w="7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667D8" w14:textId="77777777" w:rsidR="0031718B" w:rsidRDefault="0031718B" w:rsidP="0031718B">
          <w:pPr>
            <w:spacing w:after="0"/>
            <w:rPr>
              <w:rFonts w:ascii="Times New Roman" w:eastAsia="Times New Roman" w:hAnsi="Times New Roman" w:cs="Times New Roman"/>
              <w:b/>
              <w:caps/>
              <w:sz w:val="20"/>
              <w:szCs w:val="20"/>
              <w:lang w:val="it-IT"/>
            </w:rPr>
          </w:pPr>
        </w:p>
      </w:tc>
      <w:tc>
        <w:tcPr>
          <w:tcW w:w="23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53AA508" w14:textId="77777777" w:rsidR="0031718B" w:rsidRDefault="0031718B" w:rsidP="0031718B">
          <w:pPr>
            <w:pStyle w:val="Revisione"/>
            <w:spacing w:line="276" w:lineRule="auto"/>
            <w:rPr>
              <w:b w:val="0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Pag. </w:t>
          </w:r>
          <w:r>
            <w:rPr>
              <w:rStyle w:val="PageNumber"/>
              <w:sz w:val="22"/>
              <w:szCs w:val="22"/>
              <w:lang w:val="en-US"/>
            </w:rPr>
            <w:t>1/1</w:t>
          </w:r>
        </w:p>
      </w:tc>
      <w:bookmarkEnd w:id="56"/>
    </w:tr>
  </w:tbl>
  <w:p w14:paraId="4E689DE8" w14:textId="35000901" w:rsidR="008A4CD4" w:rsidRDefault="008A4CD4">
    <w:pPr>
      <w:pStyle w:val="Header"/>
      <w:jc w:val="center"/>
    </w:pPr>
  </w:p>
  <w:p w14:paraId="58F0D6B4" w14:textId="77777777" w:rsidR="008A4CD4" w:rsidRDefault="008A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953"/>
    <w:multiLevelType w:val="hybridMultilevel"/>
    <w:tmpl w:val="ABA68F96"/>
    <w:lvl w:ilvl="0" w:tplc="0A1412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E262475"/>
    <w:multiLevelType w:val="hybridMultilevel"/>
    <w:tmpl w:val="4F70EA76"/>
    <w:lvl w:ilvl="0" w:tplc="3EE098AA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C4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A35E7F"/>
    <w:multiLevelType w:val="hybridMultilevel"/>
    <w:tmpl w:val="2FC2A164"/>
    <w:lvl w:ilvl="0" w:tplc="BF50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2A26E3"/>
    <w:multiLevelType w:val="hybridMultilevel"/>
    <w:tmpl w:val="FDA8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7"/>
    <w:rsid w:val="00027237"/>
    <w:rsid w:val="000347B6"/>
    <w:rsid w:val="00041A54"/>
    <w:rsid w:val="00042E69"/>
    <w:rsid w:val="0008506F"/>
    <w:rsid w:val="000E1E55"/>
    <w:rsid w:val="001129E1"/>
    <w:rsid w:val="00142CEE"/>
    <w:rsid w:val="0014326D"/>
    <w:rsid w:val="00163416"/>
    <w:rsid w:val="0016663F"/>
    <w:rsid w:val="00172D09"/>
    <w:rsid w:val="001A32A1"/>
    <w:rsid w:val="001C2ABE"/>
    <w:rsid w:val="001F0DC2"/>
    <w:rsid w:val="00201027"/>
    <w:rsid w:val="00237CD0"/>
    <w:rsid w:val="0027628C"/>
    <w:rsid w:val="00292980"/>
    <w:rsid w:val="00292B58"/>
    <w:rsid w:val="002C30CC"/>
    <w:rsid w:val="002E5BEC"/>
    <w:rsid w:val="002F3C67"/>
    <w:rsid w:val="0031718B"/>
    <w:rsid w:val="00337604"/>
    <w:rsid w:val="003443AB"/>
    <w:rsid w:val="00386E29"/>
    <w:rsid w:val="00394667"/>
    <w:rsid w:val="00394F26"/>
    <w:rsid w:val="003F33ED"/>
    <w:rsid w:val="00400773"/>
    <w:rsid w:val="00401637"/>
    <w:rsid w:val="004260BC"/>
    <w:rsid w:val="004A59F4"/>
    <w:rsid w:val="004C17E0"/>
    <w:rsid w:val="005156A7"/>
    <w:rsid w:val="00516A61"/>
    <w:rsid w:val="005237E4"/>
    <w:rsid w:val="00546BC6"/>
    <w:rsid w:val="00554843"/>
    <w:rsid w:val="005B3366"/>
    <w:rsid w:val="005C3348"/>
    <w:rsid w:val="005E7F6F"/>
    <w:rsid w:val="005F1AA1"/>
    <w:rsid w:val="0061241C"/>
    <w:rsid w:val="00622786"/>
    <w:rsid w:val="0065529E"/>
    <w:rsid w:val="00662AFF"/>
    <w:rsid w:val="006C5F86"/>
    <w:rsid w:val="006C6E99"/>
    <w:rsid w:val="006F2FF7"/>
    <w:rsid w:val="00714FE0"/>
    <w:rsid w:val="00753CAC"/>
    <w:rsid w:val="00757BB0"/>
    <w:rsid w:val="00782325"/>
    <w:rsid w:val="007B51F4"/>
    <w:rsid w:val="007C115B"/>
    <w:rsid w:val="007C23E5"/>
    <w:rsid w:val="007E43BE"/>
    <w:rsid w:val="007F7D33"/>
    <w:rsid w:val="00826E28"/>
    <w:rsid w:val="008471B0"/>
    <w:rsid w:val="008A4CD4"/>
    <w:rsid w:val="00905C07"/>
    <w:rsid w:val="00914384"/>
    <w:rsid w:val="00925E43"/>
    <w:rsid w:val="009A2AF2"/>
    <w:rsid w:val="009F0BC9"/>
    <w:rsid w:val="009F313A"/>
    <w:rsid w:val="009F6FAC"/>
    <w:rsid w:val="00A028F0"/>
    <w:rsid w:val="00A13326"/>
    <w:rsid w:val="00A42F73"/>
    <w:rsid w:val="00A556AE"/>
    <w:rsid w:val="00A73DC5"/>
    <w:rsid w:val="00A74961"/>
    <w:rsid w:val="00AB0A2B"/>
    <w:rsid w:val="00AB3573"/>
    <w:rsid w:val="00AC2729"/>
    <w:rsid w:val="00AE3E69"/>
    <w:rsid w:val="00B4499F"/>
    <w:rsid w:val="00B53530"/>
    <w:rsid w:val="00B62328"/>
    <w:rsid w:val="00B86222"/>
    <w:rsid w:val="00BA191D"/>
    <w:rsid w:val="00C20C04"/>
    <w:rsid w:val="00C304ED"/>
    <w:rsid w:val="00C659E9"/>
    <w:rsid w:val="00C80E3C"/>
    <w:rsid w:val="00CA7106"/>
    <w:rsid w:val="00CB13B7"/>
    <w:rsid w:val="00D17FF5"/>
    <w:rsid w:val="00D435B9"/>
    <w:rsid w:val="00D9166C"/>
    <w:rsid w:val="00D96501"/>
    <w:rsid w:val="00DA5F73"/>
    <w:rsid w:val="00DB6943"/>
    <w:rsid w:val="00DC268C"/>
    <w:rsid w:val="00DC6AB1"/>
    <w:rsid w:val="00DE45BF"/>
    <w:rsid w:val="00DF75A8"/>
    <w:rsid w:val="00E02870"/>
    <w:rsid w:val="00E0622A"/>
    <w:rsid w:val="00E15545"/>
    <w:rsid w:val="00E21113"/>
    <w:rsid w:val="00E3517D"/>
    <w:rsid w:val="00E44485"/>
    <w:rsid w:val="00E4683E"/>
    <w:rsid w:val="00E51B2D"/>
    <w:rsid w:val="00E7475B"/>
    <w:rsid w:val="00E766B7"/>
    <w:rsid w:val="00E81E8C"/>
    <w:rsid w:val="00E90F59"/>
    <w:rsid w:val="00E93756"/>
    <w:rsid w:val="00EA2F91"/>
    <w:rsid w:val="00EC0A52"/>
    <w:rsid w:val="00EE4C98"/>
    <w:rsid w:val="00F455EA"/>
    <w:rsid w:val="00F64429"/>
    <w:rsid w:val="00F73698"/>
    <w:rsid w:val="00F742AF"/>
    <w:rsid w:val="00FE0FA2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C9B0"/>
  <w15:docId w15:val="{B7D09628-2853-4D43-925A-40DBF0E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en" w:eastAsia="ru-RU"/>
    </w:rPr>
  </w:style>
  <w:style w:type="paragraph" w:styleId="BodyText">
    <w:name w:val="Body Text"/>
    <w:basedOn w:val="Normal"/>
    <w:link w:val="BodyTextChar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8A4CD4"/>
    <w:rPr>
      <w:rFonts w:ascii="Times New Roman" w:eastAsia="Times New Roman" w:hAnsi="Times New Roman" w:cs="Times New Roman"/>
      <w:sz w:val="24"/>
      <w:szCs w:val="20"/>
      <w:lang w:val="en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4CD4"/>
  </w:style>
  <w:style w:type="paragraph" w:styleId="Footer">
    <w:name w:val="footer"/>
    <w:basedOn w:val="Normal"/>
    <w:link w:val="FooterChar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4"/>
  </w:style>
  <w:style w:type="paragraph" w:styleId="BalloonText">
    <w:name w:val="Balloon Text"/>
    <w:basedOn w:val="Normal"/>
    <w:link w:val="BalloonTextChar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353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Intestazione">
    <w:name w:val="Titolo 1 Intestazione"/>
    <w:basedOn w:val="Header"/>
    <w:rsid w:val="0031718B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31718B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  <w:style w:type="character" w:styleId="PageNumber">
    <w:name w:val="page number"/>
    <w:basedOn w:val="DefaultParagraphFont"/>
    <w:semiHidden/>
    <w:unhideWhenUsed/>
    <w:rsid w:val="0031718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Y370</dc:creator>
  <cp:keywords/>
  <dc:description/>
  <cp:lastModifiedBy>User</cp:lastModifiedBy>
  <cp:revision>16</cp:revision>
  <cp:lastPrinted>2019-08-29T08:23:00Z</cp:lastPrinted>
  <dcterms:created xsi:type="dcterms:W3CDTF">2023-08-26T12:39:00Z</dcterms:created>
  <dcterms:modified xsi:type="dcterms:W3CDTF">2025-09-18T10:58:00Z</dcterms:modified>
</cp:coreProperties>
</file>